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8C_61/2010 vom 25. Mai 2010</w:t>
      </w:r>
    </w:p>
    <w:p>
      <w:r>
        <w:t>Bundesgericht, 2010-05-25, DE</w:t>
      </w:r>
    </w:p>
    <w:p>
      <w:r>
        <w:rPr>
          <w:b/>
        </w:rPr>
        <w:t xml:space="preserve">Quelle: </w:t>
      </w:r>
      <w:r>
        <w:t>https://mcp.opencaselaw.ch/entscheid/bger_8C_61_2010</w:t>
      </w:r>
    </w:p>
    <w:p>
      <w:r>
        <w:t>FR: TF 8C_61/2010 du 25 mai 2010</w:t>
      </w:r>
    </w:p>
    <w:p>
      <w:r>
        <w:t>IT: TF 8C_61/2010 del 25 maggio 2010</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2</w:t>
      </w:r>
    </w:p>
    <w:p>
      <w:r>
        <w:t>Streitig und zu prüfen ist, ob der Beschwerdeführer ab 1. August 2008 Anspruch auf eine ganze oder zumindest weiterhin eine Dreiviertelsrente hat und in diesem Zusammenhang zunächst die Frage, ob sich der Gesundheitszustand und die Arbeitsfähigkeit in revisionsrechtlich erheblicher Weise verändert haben.</w:t>
      </w:r>
    </w:p>
    <w:p>
      <w:r>
        <w:rPr>
          <w:b/>
        </w:rPr>
        <w:t>E. 2.1</w:t>
      </w:r>
    </w:p>
    <w:p>
      <w:r>
        <w:t>Das kantonale Gericht hat die für die Beurteilung des umstrittenen Anspruchs auf eine Invalidenrente massgebenden materiellrechtlichen ATSG- und IVG-Bestimmungen (je in der bis Ende 2007 gültig gewesenen Fassung) sowie die Rechtsprechung zur revisionsweisen Erhöhung, Herabsetzung oder Aufhebung laufender Invalidenrenten (vgl. auch BGE 130 V 343 E. 3.5 S. 349 ff. und 133 V 108 E. 5 S. 110 ff.), zum revisionsrechtlich massgebenden Vergleichszeitraum (vgl. auch BGE 133 V 108 E. 5.4 S. 114) sowie zum Beweiswert und zur Würdigung der ärztlichen Berichte und Gutachten (vgl. auch BGE 132 V 393 E. 4.1 S. 400) zutreffend dargelegt. Darauf wird verwiesen.</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 Grunde zu legen hat (E. 1 hievor). Analoges gilt auch für die Frage, ob sich eine Arbeits(un)fähigkeit in einem bestimmten Zeitraum in einem revisionsrechtlich relevanten Sinne verändert hat (Urteil I 865/06 vom 12. Oktober 2007 E. 4). Die konkrete Beweiswürdigung stellt eine Tatfrage dar. Dagegen ist die Beachtung des Untersuchungsgrundsatzes und der Beweiswürdigungsregeln nach Art. 61 lit. c ATSG Rechtsfrage ( BGE 132 V 393 E. 3.2 und 4 S. 397 ff.; erwähntes Urteil I 865/06 E. 4 mit Hinweisen), die das Bundesgericht frei überprüfen kann ( Art. 106 Abs. 1 BGG ).</w:t>
      </w:r>
    </w:p>
    <w:p>
      <w:r>
        <w:rPr>
          <w:b/>
        </w:rPr>
        <w:t>E. 2.3.1</w:t>
      </w:r>
    </w:p>
    <w:p>
      <w:r>
        <w:t>Nach den zutreffenden vorinstanzlichen Feststellungen sind für die Festlegung des revisionsrechtlich massgeblichen Vergleichszeitraums die Verwaltungsverfügungen vom 15. Mai 2003 und 27. Juni 2008 zu beachten. Der erstmaligen Rentenzusprechung lag im Wesentlichen das polydisziplinäre Gutachten des Instituts X.________ vom 7. November 2002 zugrunde, wonach seit dem Unfall vom 9. März 2000 (Sturz von einer Leiter mit Wirbelsäulenkontusion) ein chronisches, thorakal betontes, panvertebrales Schmerzsyndrom sowie eine Panikstörung bestanden, welche Diagnosen eine Erwerbstätigkeit im angestammten Beruf als Gipser verunmöglichten, jedoch weiterhin körperlich leichte bis mittelschwere wechselbelastende Arbeiten in zeitlichem Umfang von 70 % zuliessen. Das kantonale Gericht hat weiter gestützt auf eine sorgfältige und inhaltsbezogene Beweiswürdigung der medizinischen Akten festgestellt, dass sich der Gesundheitszustand aus somatisch-medizinischer Sicht nicht in revisionsrechtlich erheblicher Weise veränderte, hiegegen eine Verbesserung der psychiatrisch/psychologisch therapierten Panikstörung eingetreten war. Gemäss Gutachten vom 12. Dezember 2007 war der Versicherte in einer den körperlichen Einschränkungen angepassten Arbeitstätigkeit weiterhin vollständig leistungsfähig; die aus psychiatrischer Sicht bestandenen gesundheitlichen Beeinträchtigungen führten aber lediglich noch zu einer Einschränkung von 20 %.</w:t>
      </w:r>
    </w:p>
    <w:p>
      <w:r>
        <w:rPr>
          <w:b/>
        </w:rPr>
        <w:t>E. 2.3.2</w:t>
      </w:r>
    </w:p>
    <w:p>
      <w:r>
        <w:t>Entgegen den Vorbringen des Beschwerdeführers ist das Gutachten des Instituts X.________ vom 12. Dezember 2007 weder unvollständig noch in sich widersprüchlich. Im Einzelnen ist Folgendes festzuhalten:</w:t>
      </w:r>
    </w:p>
    <w:p>
      <w:r>
        <w:rPr>
          <w:b/>
        </w:rPr>
        <w:t>E. 2.3.2.1</w:t>
      </w:r>
    </w:p>
    <w:p>
      <w:r>
        <w:t>Die medizinischen Sachverständigen legten hinsichtlich der von den Dres. med. H.________ (Bericht vom 15. Dezember 2006) und A.________, Spezialarzt für Radiologie FMH, Röntgeninstitut Y.________, (Bericht vom 3. Oktober 2010) radiologisch neu festgestellten Diskushernie auf Höhe der Halswirbelkörper C6/7 überzeugend dar, dass deren Beurteilung gut mit den Befunden in der klinischen Exploration, die keine wesentliche Kraftverminderung oder Sensibilitätsstörung in den Armen und Händen ergab, übereinstimmten. Damit war der nicht auslösbare Bizepssehnenreflex an den Armen nicht zu vereinbaren, wie der Beschwerdeführer an sich zu Recht geltend macht. Allerdings stellten die Gutachter hiezu fest, dass der Explorand anlässlich der Untersuchung die Muskulatur angespannt hatte, was den mangelnden Reflex erklärte. Im Übrigen stimmten die Befunde und Schlussfolgerungen der Gutachter des Instituts X.________ mit dem Bericht des Neurologen Dr. med. H.________ vom 14. März 2008 überein, der ebenfalls keine Arbeitsunfähigkeit in einer den körperlichen Leiden angepassten Tätigkeit feststellte. Von einer Verschlechterung des somatischen Gesundheitszustands kann jedenfalls keine Rede sein.</w:t>
      </w:r>
    </w:p>
    <w:p>
      <w:r>
        <w:rPr>
          <w:b/>
        </w:rPr>
        <w:t>E. 2.3.2.2</w:t>
      </w:r>
    </w:p>
    <w:p>
      <w:r>
        <w:t>In Bezug auf die psychiatrischen Diagnosen hielt das kantonale Gericht gestützt auf die Expertise des Instituts X.________ vom 12. Dezember 2007 zutreffend fest, dass die Panikstörung (ICD-10 F41.0) einzig auf den anamnestischen Angaben des Versicherten diagnostiziert wurde, weshalb sie zur anhaltenden somatoformen Schmerzstörung (ICD-10 F45.4) keinen komorbiden Gesundheitsschaden im Sinne der Rechtsprechung (vgl. BGE 130 V 352 E. 2.2.4 S. 355 f. mit Hinweisen) darstellte, der es dem Versicherten ausnahmsweise verunmöglichte, in den Arbeitsprozess wieder einzusteigen. Der Beschwerdeführer übersieht, dass die Beurteilung des psychiatrischen Sachverständigen des Instituts X.________ nicht von derjenigen der ihn therapierenden Dr. med. L.________ und Dr. phil. K.________ (vgl. deren Bericht vom 23. Mai 2007) abweicht. Daher ist der Hinweis auf das Urteil 9C_24/2008 vom 27. Mai 2008 (publ. in: Plädoyer 2009 S. 72), wonach der Beurteilung eines die versicherte Person einmalig untersuchenden medizinischen Sachverständigen kein grundsätzlicher Vorrang gegenüber den Erkenntnissen der behandelnden Ärztin zukam, hier nicht einschlägig. Zudem ergibt sich aus dem früheren Gutachten des Instituts X.________ vom 7. November 2002, dass die somatoforme Schmerzstörung auch schon im Zeitpunkt der ursprünglichen Verfügung vom 15. Mai 2003 keinen Einfluss auf eine zumutbare Arbeitstätigkeit hatte.</w:t>
      </w:r>
    </w:p>
    <w:p>
      <w:r>
        <w:rPr>
          <w:b/>
        </w:rPr>
        <w:t>E. 2.3.2.3</w:t>
      </w:r>
    </w:p>
    <w:p>
      <w:r>
        <w:t>Einzuräumen ist, dass das kantonale Gericht den im vorinstanzlichen Verfahren eingereichten Bericht der Stiftung C._______ vom 5. Februar 2009 nicht in die Beweiswürdigung einbezogen hat. Dies war indes schon deshalb nicht notwendig, weil die Evaluation der arbeitsbezogenen Belastbarkeit ab 3. November 2008, mithin fast ein halbes Jahr nach Erlass der Revisionsverfügung vom 27. Juni 2008, stattfand, und nicht ersichtlich ist, dass die im genannten Bericht festgehaltenen Beobachtungen geeignet sein sollen, den Sachverhalt im Zeitpunkt bei Erlass der Revisionsverfügung vom 27. Juni 2008 zu beeinflussen (vgl. BGE 99 V 102 mit Hinweisen). Insbesondere kann daraus nicht geschlossen werden, der Versicherte sei bei der für die Bestimmung des hypothetischen Invalideneinkommens vorausgesetzten ausgeglichenen Arbeitsmarktlage wegen seiner gesundheitlichen Beeinträchtigungen nicht mehr vermittelbar, wie in der Beschwerde insgesamt geltend gemacht wird.</w:t>
      </w:r>
    </w:p>
    <w:p>
      <w:r>
        <w:rPr>
          <w:b/>
        </w:rPr>
        <w:t>E. 3</w:t>
      </w:r>
    </w:p>
    <w:p>
      <w:r>
        <w:t>Zu prüfen bleibt die Bestimmung des Invaliditätsgrades, die einzig hinsichtlich des nach der Rechtsprechung allenfalls zu gewährenden Abzugs vom gestützt auf statistische Durchschnittswerte ermittelten hypothetischen Invalidenlohn (vgl. BGE 134 V 322 E. 5 mit Hinweisen) streitig ist. Auf diese Frage ist nicht näher einzugehen, da selbst unter Zugrundelegung eines praxisgemäss zulässigen Höchstabzugs von 25 % des vorinstanzlich festgestellen Invalidenlohnes ein unter 60 % liegender Invaliditätsgrad resultierte.</w:t>
      </w:r>
    </w:p>
    <w:p>
      <w:r>
        <w:rPr>
          <w:b/>
        </w:rPr>
        <w:t>E. 4</w:t>
      </w:r>
    </w:p>
    <w:p>
      <w:r>
        <w:t>Das Verfahren ist kostenpflichtig (Art. 62 Abs. 1 Satz 1 in Verbindung mit Art. 65 Abs. 1 und Abs. 4 lit. a BGG). 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