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619/2024 vom 17. Februar 2025</w:t>
      </w:r>
    </w:p>
    <w:p>
      <w:r>
        <w:t>Bundesgericht, 2025-02-17, DE</w:t>
      </w:r>
    </w:p>
    <w:p>
      <w:r>
        <w:rPr>
          <w:b/>
        </w:rPr>
        <w:t xml:space="preserve">Quelle: </w:t>
      </w:r>
      <w:r>
        <w:t>https://mcp.opencaselaw.ch/entscheid/bger_8C_619_2024</w:t>
      </w:r>
    </w:p>
    <w:p>
      <w:r>
        <w:t>FR: TF 8C 619/2024 du 17 février 2025</w:t>
      </w:r>
    </w:p>
    <w:p>
      <w:r>
        <w:t>IT: TF 8C 619/2024 del 17 febbraio 2025</w:t>
      </w:r>
    </w:p>
    <w:p>
      <w:pPr>
        <w:pStyle w:val="Heading2"/>
      </w:pPr>
      <w:r>
        <w:t>Regeste</w:t>
      </w:r>
    </w:p>
    <w:p>
      <w:r>
        <w:t>Ergänzungsleistung zur AHV/IV | Ergänzungsleistung</w:t>
      </w:r>
    </w:p>
    <w:p>
      <w:pPr>
        <w:pStyle w:val="Heading2"/>
      </w:pPr>
      <w:r>
        <w:t>Erwägungen</w:t>
      </w:r>
    </w:p>
    <w:p>
      <w:r>
        <w:rPr>
          <w:b/>
        </w:rPr>
        <w:t>E. 1</w:t>
      </w:r>
    </w:p>
    <w:p>
      <w:r>
        <w:t>Das kantonale Gericht hat die Sache in Abänderung des Einspracheentscheids vom 5. Oktober 2023 zur Neubeurteilung des EL-Anspruchs und der Rückforderungen an die Ausgleichskasse zurückgewiesen. Da die Rückweisung lediglich der rechnerischen Umsetzung des abschliessend festgestellten Umfangs des EL-Anspruchs dient, ist von einem letztinstanzlich anfechtbaren Endentscheid im Sinne von Art. 90 BGG auszugehen (vgl. BGE 144 V 280 E. 1.2 mit Hinweisen). Auf die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2.2</w:t>
      </w:r>
    </w:p>
    <w:p>
      <w:r>
        <w:t>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3</w:t>
      </w:r>
    </w:p>
    <w:p>
      <w:r>
        <w:t>Streitig ist, ob die Vorinstanz Bundesrecht verletzt hat, indem sie zum Schluss gelangte, die Wohnung und die beiden landwirtschaftlichen Grundstücke des Beschwerdeführers in Pristina seien bei der Berechnung der EL mit einem Verkehrswert von EUR 93'828.- zu berücksichtigen.</w:t>
      </w:r>
    </w:p>
    <w:p>
      <w:r>
        <w:rPr>
          <w:b/>
        </w:rPr>
        <w:t>E. 4</w:t>
      </w:r>
    </w:p>
    <w:p>
      <w:r>
        <w:t>Die Vorinstanz hat die für die Beurteilung der Beschwerde massgebenden Rechtsgrundlagen im angefochtenen Urteil zutreffend dargelegt. Darauf wird verwiesen ( Art. 109 Abs. 3 BGG ).</w:t>
      </w:r>
    </w:p>
    <w:p>
      <w:r>
        <w:rPr>
          <w:b/>
        </w:rPr>
        <w:t>E. 5</w:t>
      </w:r>
    </w:p>
    <w:p>
      <w:r>
        <w:t>Die Vorinstanz hielt fest, gemäss dem ersten Gutachten eines kosovarischen Sachverständigen vom 10. August 2023 hätten die Wohnung mit einer Fläche von 65.1 m2 und die zwei landwirtschaftlichen Grundstücke mit einer Fläche von 1539 m2 bzw. von 1069 m2 einen Marktwert von insgesamt EUR 130'320.- (Wohnung: EUR 52'080.-; landwirtschaftliche Grundstücke: EUR 46'170.- bzw. EUR 32'070.-) ausgewiesen. Das zweite Gutachten eines anderen kosovarischen Sachverständigen vom 13. Januar 2024 beziffere den Marktwert mit insgesamt EUR 93'828.- (Wohnung: von EUR 39'319.-; landwirtschaftliche Grundstücke: EUR 32'319.- bzw. EUR 22'449. -). Im Rahmen einer schlüssigen Begründung, auf die grundsätzlich verwiesen werden kann ( Art. 109 Abs. 3 BGG ), legte die Vorinstanz sodann dar, dass entgegen der Auffassung des Beschwerdeführers zumindest auf das neuere Gutachten abgestellt werden könne. Zwar sei auch dieses nur rudimentär begründet, es enthalte jedoch eine detailliertere Beurteilung und mache auch konkrete Angaben zu den massgebenden Kriterien bzw. zur angewandten Methode. Weiter überzeuge das Gutachten auch insoweit, als es die geographischen, sozialen und wirtschaftlichen Rahmenbedingungen des Standorts Pristina darlege. Entgegen der Ansicht des Beschwerdeführers habe der Gutachter sodann auch die fehlende Baubewilligung der Wohnung bzw. des Gebäudes in seine Bewertung einbezogen; im Rahmen seiner diesbezüglichen Ergänzung vom 13. Januar 2024 habe er auch keinen Anlass gesehen, von seiner ursprünglichen Bewertung abzuweichen. Die angeblich drohende behördliche Rückbauverfügung sei nicht belegt. Im Übrigen bestehe offenbar trotz der baurechtlichen Situation eine Nachfrage nach Wohnungen der fraglichen Art, wie der Beschwerdeführer durch den nach seinen Angaben vor zehn Jahren erfolgten Kauf gezeigt habe. Handänderungen seien daher durchaus möglich. Der Schätzwert der Wohnung von EUR 39'060.- könne demzufolge übernommen werden. Zum gleichen Schluss gelangte das kantonale Gericht bezüglich der beiden landwirtschaftlichen Grundstücke. Auch mit Blick auf die Preise, die laut Beschwerdeführer im Kanton Appenzell Ausserrhoden für Landwirtschaftsland bezahlt würden, bestehe kein Anlass, an der gutachterlichen Schätzung zu zweifeln, zumal das erste Gutachten von einem noch höheren Quadratmeterpreis ausgegangen sei. Die unentgeltliche Überlassung an Dritte belege keine Wertlosigkeit, sondern eine offenbar bestehende Nutzungsnachfrage, die ein Indiz für eine Veräusserbarkeit der Grundstücke sei. Von der beschwerdeweise beantragten Einholung eines Gerichtsgutachtens sei abzusehen, zumal ein solches wegen der im Vergleich zu Zivil- und Strafrechtssachen generell weniger gut ausgebauten internationalen Rechtshilfe in Verwaltungssachen und mangels entsprechender Staatsverträge zwischen der Schweiz und dem Kosovo auch nicht mit vernünftigem Aufwand zu erhalten wäre. Die Ausgleichskasse habe die Neubeurteilung des EL-Anspruchs und allfälliger Rückforderungen demnach auf der Grundlage des Verkehrswerts der Grundstücke von insgesamt EUR 93'828.- vorzunehmen.</w:t>
      </w:r>
    </w:p>
    <w:p>
      <w:r>
        <w:rPr>
          <w:b/>
        </w:rPr>
        <w:t>E. 6</w:t>
      </w:r>
    </w:p>
    <w:p>
      <w:r>
        <w:t>Was der Beschwerdeführer gegen das angefochtene Urteil vorbringt, ist offensichtlich unbegründet, soweit überhaupt darauf einzugehen ist (vgl. E. 2.2 am Ende). Das kantonale Gericht hat sich mit seinen Einwänden gegen das Gutachten hinreichend auseinandergesetzt. Von der letztinstanzlich zumindest sinngemäss gerügten Verletzung des rechtlichen Gehörs ( Art. 29 Abs. 2 BV ) im Sinne eines Begründungsmangels kann keine Rede sein (vgl. zum Ganzen BGE 148 III 30 E. 3.1 mit Hinweisen). In der Sache wiederholt der Beschwerdeführer sodann im Wesentlichen seine bereits im vorinstanzlichen Verfahren vorgetragene Argumentation, wonach nicht auf das Gutachten abgestellt werden könne, sondern von einer Unverkäuflichkeit der Wohnung und einem erheblich tieferen Verkehrswert der beiden anderen Grundstücke auszugehen sei. Inwiefern die Vorinstanz mit ihren diesbezüglichen schlüssigen Erwägungen und Schlussfolgerungen das Willkürverbot verletzt haben soll, vermag er indessen nicht aufzuzeigen. Wie sie zutreffend festgestellt hat, sah sich der Gutachter im Rahmen seiner ergänzenden Stellungnahme zum Gutachten - deren deutsche Übersetzung darauf hindeutet, dass die Wohnung bzw. das Gebäude ohne Genehmigung erstellt worden sein könnte - nicht dazu veranlasst, von der ursprünglichen Bewertung des Marktwerts abzuweichen. Vor diesem Hintergrund ist die Schlussfolgerung der Vorinstanz, dass die (allenfalls) fehlende Baubewilligung in die Bewertung eingeflossen ist, nicht zu beanstanden, geschweige denn willkürlich. Entgegen der Behauptung in der Beschwerde enthält das Gutachten sodann in den Ziffern 4.2, 5.1 und 6.1 sehr wohl eine - wenn auch rudimentäre - Beschreibung der örtlichen Verhältnisse der Grundstücke. Weshalb der mit EUR 21.- bezifferte Quadratmeterpreis der als "Landwirtschaftsacker" bezeichneten Grundstücke "aus der Luft gegriffen" sein soll, vermag der Beschwerdeführer ebenfalls nicht aufzuzeigen. Vielmehr ist der Vorinstanz darin beizupflichten, dass der im ersten Gutachten noch mit EUR 31.- bezifferte Quadratmeterpreis offenkundig auf einen höheren Wert der fraglichen Parzellen hindeutet als die vom Beschwerdeführer geltend gemachten Fr. 5.- für Landwirtschaftsland in Appenzell Ausserrhoden. Da nach willkürfreier Beurteilung seitens der Vorinstanz von weiteren Abklärungen zum Verkehrswert der Grundstücke insgesamt keine entscheidrelevanten Resultate zu erwarten waren, durfte sie in zulässiger antizipierter Beweiswürdigung (vgl. BGE 144 V 361 E. 6.5 am Ende) davon absehen. Angesichts des Vorliegens eines beweiskräftigen Gutachtens erübrigen sich schliesslich Erörterungen zur Frage, ob das vom Beschwerdeführer beantragte Gerichtsgutachten im Rahmen der internationalen Rechtshilfe mit vertretbarem Aufwand zu erhalten wäre (vgl. den insoweit anders gelagerten Sachverhalt des Urteils 9C_540/2009 vom 17. September 2009 E. 5.3).</w:t>
      </w:r>
    </w:p>
    <w:p>
      <w:r>
        <w:rPr>
          <w:b/>
        </w:rPr>
        <w:t>E. 7</w:t>
      </w:r>
    </w:p>
    <w:p>
      <w:r>
        <w:t>Abschliessend legt der Beschwerdeführer eingehend dar, welche Umstände die Vorinstanz bei einer Rückweisung gemäss Haupt- oder Eventualantrag im Zusammenhang mit der Parteientschädigung seiner Ansicht nach zu berücksichtigen hätte. Da diesen Anträgen nicht stattgegeben werden kann, ist auch darauf nicht weiter einzugehen.</w:t>
      </w:r>
    </w:p>
    <w:p>
      <w:r>
        <w:rPr>
          <w:b/>
        </w:rPr>
        <w:t>E. 8</w:t>
      </w:r>
    </w:p>
    <w:p>
      <w:r>
        <w:t>Die offensichtlich unbegründete Beschwerde wird im vereinfachten Verfahren nach Art. 109 Abs. 2 lit. a BGG mit summarischer Begründung und unter Hinweis auf die Erwägungen im angefochtenen Urteil ( Art. 109 Abs. 3 BGG ) erledigt. Dem Ausgang des Verfahrens entsprechend hat der unterliegende Beschwerdeführer die Gerichtskosten zu tragen ( Art. 66 Abs. 1 BGG ). Da die Beschwerde offensichtlich unbegründet ist, ist sie auch als aussichtslos im Sinne von Art. 64 Abs. 1 BGG zu bezeichnen (Urteil 8C_586/2023 vom 21. Februar 2024 E. 6 mit Hinweis).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