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619/2020 vom 12. März 2021</w:t>
      </w:r>
    </w:p>
    <w:p>
      <w:r>
        <w:t>Bundesgericht, 2021-03-12, FR</w:t>
      </w:r>
    </w:p>
    <w:p>
      <w:r>
        <w:rPr>
          <w:b/>
        </w:rPr>
        <w:t xml:space="preserve">Quelle: </w:t>
      </w:r>
      <w:r>
        <w:t>https://mcp.opencaselaw.ch/entscheid/bger_8C_619_2020</w:t>
      </w:r>
    </w:p>
    <w:p>
      <w:r>
        <w:t>FR: TF 8C 619/2020 du 12 mars 2021</w:t>
      </w:r>
    </w:p>
    <w:p>
      <w:r>
        <w:t>IT: TF 8C 619/2020 del 12 marzo 2021</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a violé le droit fédéral en se fondant sur l'expertise judiciaire pour confirmer la décision sur opposition du 13 mars 2017, par laquelle la CNA a nié le droit du recourant à une rente d'invalidité. S'agissant d'une procédure concernant l'octroi de prestations en espèces de l'assurance-accidents, le Tribunal fédéral n'est pas lié par les faits établis par la juridiction précédente ( art. 105 al. 3 LTF ).</w:t>
      </w:r>
    </w:p>
    <w:p>
      <w:r>
        <w:rPr>
          <w:b/>
        </w:rPr>
        <w:t>E. 3.1</w:t>
      </w:r>
    </w:p>
    <w:p>
      <w:r>
        <w:t>Le jugement entrepris expose correctement les dispositions légales et les principes jurisprudentiels applicables, de sorte qu'il suffit d'y renvoyer ( art. 109 al. 3 LTF ).</w:t>
      </w:r>
    </w:p>
    <w:p>
      <w:r>
        <w:rPr>
          <w:b/>
        </w:rPr>
        <w:t>E. 3.2</w:t>
      </w:r>
    </w:p>
    <w:p>
      <w:r>
        <w:t>On rappellera qu'en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143 V 269 consid. 6.2.3.2 p. 282; 135 V 465 consid. 4.4 p. 469 s.; arrêt 8C_87/2020 du 4 décembre 2020 consid. 3.2).</w:t>
      </w:r>
    </w:p>
    <w:p>
      <w:r>
        <w:rPr>
          <w:b/>
        </w:rPr>
        <w:t>E. 4.1</w:t>
      </w:r>
    </w:p>
    <w:p>
      <w:r>
        <w:t>Se fondant sur le rapport d'expertise judiciaire de l'Unité E.________, auquel ils ont reconnu une pleine valeur probante, les juges cantonaux ont retenu que, compte tenu des diagnostics posés (douleur de la cheville droite [M 25.5]; instabilité du genou gauche [M 23.5]; obésité morbide [E 66.0] et insuffisance veineuse chronique [I 87.2]), dans une activité adaptée, la capacité de travail du recourant était entière depuis la date de stabilisation de l'état de santé en août 2016. L'activité adaptée devait se comprendre comme exercée en position assise ou semi-assise, avec des déplacements occasionnels, et sans port de charges excédant cinq à dix kilos. Même si cela n'était plus disputé, les premiers juges ont relevé que l'avis du docteur G.________, spécialiste FMH en chirurgie orthopédique et traumatologie de l'appareil locomoteur et médecin traitant du recourant, qui retenait une baisse de rendement de l'ordre de 50 %, ne saurait être suivi, dès lors que ce praticien avait procédé à une appréciation globale de la situation, détachée des seules atteintes objectives de nature somatique.</w:t>
      </w:r>
    </w:p>
    <w:p>
      <w:r>
        <w:rPr>
          <w:b/>
        </w:rPr>
        <w:t>E. 4.2</w:t>
      </w:r>
    </w:p>
    <w:p>
      <w:r>
        <w:t>Sous l'angle formel, on relèvera que c'est en procédure fédérale que le recourant sollicite pour la première fois la mise en oeuvre d'une expertise judiciaire comportant un volet neurologique. En effet, en procédure cantonale, il s'était limité à requérir la mise en oeuvre d'une expertise médicale, sans autre précision quant à une spécialisation. En outre, lorsque la juridiction cantonale a donné suite à sa requête, en avisant les parties qu'elle entendait confier une expertise judiciaire à l'Unité E.________ de l'Hôpital F.________ et en les invitant à se déterminer sur le choix du centre de l'expertise et à produire un questionnaire (orthopédie et médecine interne), le recourant n'a ni proposé d'ajouter un volet neurologique, ni posé une question qui concerne ce domaine de compétence. Enfin, il n'a pas non plus critiqué cet aspect dans ses déterminations du 21 août 2018 une fois que le rapport d'expertise avait été rendu. Au regard de l' art. 99 al. 2 LTF , il paraît dès lors douteux que ses conclusions tendant à la mise en oeuvre d'une expertise judiciaire comportant un volet neurologique soient recevables (cf. arrêt 8C_186/2009 du 6 août 2009 consid. 3.1).</w:t>
      </w:r>
    </w:p>
    <w:p>
      <w:r>
        <w:rPr>
          <w:b/>
        </w:rPr>
        <w:t>E. 4.3</w:t>
      </w:r>
    </w:p>
    <w:p>
      <w:r>
        <w:t>Même si l'on devait admettre la recevabilité de ses conclusions, on ne voit pas dans les critiques soulevées par le recourant de motifs impérieux de s'écarter des conclusions de l'expertise judiciaire. En effet, le recourant se borne principalement à faire valoir qu'un examen neurologique serait nécessaire, sans toutefois étayer ses allégations par des éléments concrets. Or à la lecture du dossier, on constate qu'aucun spécialiste ou expert n'a proposé ni même évoqué qu'un examen neurologique serait en l'occurrence indiqué. Bien au contraire, dans le protocole opératoire du 20 mars 2014, il est relevé dans le bilan des lésions que le recourant présente une fracture ouverte de la jambe gauche, sans trouble neurologique. Le recourant n'indique d'ailleurs pas sur quel rapport médical il se fonde lorsqu'il soutient qu'il serait hautement vraisemblable que ses douleurs soient de nature neuropathique. Les autres griefs tendant à remettre en cause la valeur probante du rapport d'expertise sont également infondés. S'agissant des rapport médicaux qui ont été remis par le recourant à l'instance cantonale le 26 mars 2020 soit plusieurs mois après que le dossier de la cause avait été transmis à l'Unité E.________ pour la réalisation de l'expertise, on ne saurait reprocher aux experts de ne pas s'être déterminés sur ceux-ci. Les premiers juges ont néanmoins procédé à l'appréciation de l'ensemble des preuves et ont exposé pour quels motifs les rapports médicaux en question n'étaient pas de nature à remettre en question les conclusions du rapport d'expertise. Dès lors que le recourant ne discute pas ces motifs, il n'y a pas lieu de revenir sur ceux-ci ( art. 42 al. 2 LTF ).</w:t>
      </w:r>
    </w:p>
    <w:p>
      <w:r>
        <w:rPr>
          <w:b/>
        </w:rPr>
        <w:t>E. 5</w:t>
      </w:r>
    </w:p>
    <w:p>
      <w:r>
        <w:t>En définitive, le recours, manifestement mal fondé, dans la mesure où il est recevable (cf. consid. 4.2 supra), doit être rejeté selon la procédure simplifiée prévue à l' art. 109 al. 2 LTF .</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Au regard des motifs avancés dans le mémoire de recours, celui-ci était dénué de chances de succès. Le recourant doit par conséquent payer les frais judiciaires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