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8C_617/2025 vom 25. März 2026</w:t>
      </w:r>
    </w:p>
    <w:p>
      <w:r>
        <w:t>Bundesgericht, 2026-03-25, DE</w:t>
      </w:r>
    </w:p>
    <w:p>
      <w:r>
        <w:rPr>
          <w:b/>
        </w:rPr>
        <w:t xml:space="preserve">Quelle: </w:t>
      </w:r>
      <w:r>
        <w:t>https://mcp.opencaselaw.ch/entscheid/bger_8C_617_2025</w:t>
      </w:r>
    </w:p>
    <w:p>
      <w:r>
        <w:t>FR: TF 8C_617/2025 du 25 mars 2026</w:t>
      </w:r>
    </w:p>
    <w:p>
      <w:r>
        <w:t>IT: TF 8C_617/2025 del 25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150 II 346 E. 1.6).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mit Hinweisen). Die angefochtenen Verfügungen ergingen am 22. März und 15. Juni 2023. Auf den Eventualantrag der Beschwerdeführerin, ihr sei ab 1. Januar 2024 jedenfalls eine Rente von 67 % einer ganzen Rente zuzusprechen, ist demnach nicht einzutreten.</w:t>
      </w:r>
    </w:p>
    <w:p>
      <w:r>
        <w:rPr>
          <w:b/>
        </w:rPr>
        <w:t>E. 3</w:t>
      </w:r>
    </w:p>
    <w:p>
      <w:r>
        <w:t>Streitig und zu prüfen ist, ob das kantonale Gericht Bundesrecht verletzte, indem es der Beschwerdeführerin für die Zeit ab 1. März 2015 keine höhere als die zugesprochene Rente zuerkannte.</w:t>
      </w:r>
    </w:p>
    <w:p>
      <w:r>
        <w:rPr>
          <w:b/>
        </w:rPr>
        <w:t>E. 4</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5.1</w:t>
      </w:r>
    </w:p>
    <w:p>
      <w:r>
        <w:t>Es steht fest und ist letztinstanzlich unbestritten, dass die Beschwerdeführerin ihre angestammte Tätigkeit als Podologin gesundheitsbedingt nicht mehr ausüben kann. Die Vorinstanz hat im Weiteren in umfassender Würdigung der medizinischen Akten, insbesondere gestützt auf das Gerichtsgutachten des ABI vom 29. Oktober 2024 für das Bundesgericht verbindlich festgestellt, dass sie medizinisch-theoretisch in der Lage ist, einer ihrem Leiden angepassten Tätigkeit zu 50 % nachzugehen. Die Beschwerdeführerin macht geltend, die ihr verbleibende Arbeitsfähigkeit sei auch auf dem (theoretischen) ausgeglichenen Arbeitsmarkt nicht verwertbar.</w:t>
      </w:r>
    </w:p>
    <w:p>
      <w:r>
        <w:rPr>
          <w:b/>
        </w:rPr>
        <w:t>E. 5.2</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9C_426/2020 vom 29. April 2021 E. 5.2 und 9C_644/2019 vom 20. Januar 2020 E. 4.2, je mit Hinweis).</w:t>
      </w:r>
    </w:p>
    <w:p>
      <w:r>
        <w:rPr>
          <w:b/>
        </w:rPr>
        <w:t>E. 5.3</w:t>
      </w:r>
    </w:p>
    <w:p>
      <w:r>
        <w:t>Gestützt auf das Gerichtsgutachten des ABI vom 29. Oktober 2024 stellte die Vorinstanz fest, dass die Beschwerdeführerin medizinisch-theoretisch in einer leichten bis intermittierend mittelschweren, wechselbelastenden Tätigkeit mit einfachen Anforderungen, ohne allzu hohe Komplexität, mit Arbeitsvorgaben, die rasch zu erlernen sind, und ohne hohe Verantwortung gegenüber Mitarbeitenden oder notwendiger sozialer Interaktion zu 50 % arbeitsfähig ist. Was die Beschwerdeführerin gegen diese Feststellung vorbringt, vermag sie nicht als bundesrechtswidrig erscheinen zu lassen. Insbesondere kann nicht gesagt werden, die Vorinstanz hätte das Anforderungsprofil willkürlicherweise verkürzt wiedergegeben bzw. relevante Einschränkungen weggelassen. Wie das kantonale Gericht zutreffend erwogen hat, bietet der massgebende theoretische ausgeglichene Arbeitsmarkt genügend Erwerbsmöglichkeiten, die dem obgenannten Anforderungsprofil entsprechen (vgl. Urteil 8C_210/2025 vom 1. Dezember 2025 E. 3.2). Dies würde übrigens selbst dann gelten, wenn man mit der Beschwerdeführerin davon ausgehen würde, sie habe ein striktes Tragelimit von Lasten über höchstens fünf Kilogramm einzuhalten (vgl. Urteil 8C_568/2010 vom 3. Dezember 2010 E. 3). Ebenfalls erscheint der von der Beschwerdeführerin geltend gemachte Umstand, dass sie selbst als Gesunde nie nachhaltig in den ersten Arbeitsmarkt integriert war, angesichts ihres selbst im Verfügungszeitpunkt noch nicht weit fortgeschrittenen Alters - die Beschwerdeführerin ist Jahrgang 1994 - nicht als unüberwindbares Hindernis für das Finden einer ihrem Leiden angepassten Tätigkeit.</w:t>
      </w:r>
    </w:p>
    <w:p>
      <w:r>
        <w:rPr>
          <w:b/>
        </w:rPr>
        <w:t>E. 5.4</w:t>
      </w:r>
    </w:p>
    <w:p>
      <w:r>
        <w:t>Zusammenfassend hat die Vorinstanz kein Bundesrecht verletzt, als sie die Verwertbarkeit der der Beschwerdeführerin verbliebenen medizinisch-theoretischen Arbeitsfähigkeit bejahte. Die übrigen Aspekte des Einkommensvergleichs sind letztinstanzlich unbestritten geblieben, sodass die Beschwerde ohne Weiterungen abzuweisen ist, soweit auf sie eingetreten wird.</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