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617/2015 vom 20. Mai 2016</w:t>
      </w:r>
    </w:p>
    <w:p>
      <w:r>
        <w:t>Bundesgericht, 2016-05-20, DE</w:t>
      </w:r>
    </w:p>
    <w:p>
      <w:r>
        <w:rPr>
          <w:b/>
        </w:rPr>
        <w:t xml:space="preserve">Quelle: </w:t>
      </w:r>
      <w:r>
        <w:t>https://mcp.opencaselaw.ch/entscheid/bger_8C_617_2015</w:t>
      </w:r>
    </w:p>
    <w:p>
      <w:r>
        <w:t>FR: TF 8C 617/2015 du 20 mai 2016</w:t>
      </w:r>
    </w:p>
    <w:p>
      <w:r>
        <w:t>IT: TF 8C 617/2015 del 20 maggio 2016</w:t>
      </w:r>
    </w:p>
    <w:p>
      <w:pPr>
        <w:pStyle w:val="Heading2"/>
      </w:pPr>
      <w:r>
        <w:t>Regeste</w:t>
      </w:r>
    </w:p>
    <w:p>
      <w:r>
        <w:t>Invalidenversicherung (Invalidenrente; Revision)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gilt eine qualifizierte Rügepflicht ( Art. 106 Abs. 2 BGG ; zum Ganzen: BGE 138 I 274 E. 1.6 S. 280 f.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weiterhin Anspruch auf eine Invalidenrente besteht, was die Vorinstanz in Anwendung der sog. Überwindbarkeitspraxis (vgl. BGE 139 V 547 E. 6 f. S. 559 ff.) verneint hat.</w:t>
      </w:r>
    </w:p>
    <w:p>
      <w:r>
        <w:rPr>
          <w:b/>
        </w:rPr>
        <w:t>E. 2.2</w:t>
      </w:r>
    </w:p>
    <w:p>
      <w:r>
        <w:t>Die Beschwerdeführerin macht eine Rechtsverletzung im Sinne einer unvollständigen gerichtlichen Feststellung der rechtserheblichen Tatsachen geltend, weil die Vorinstanz in Missachtung der mit BGE 141 V 281 geänderten Rechtsprechung bezüglich psychosomatischer Leiden und rentenbegründender Invalidität kein strukturiertes Beweisverfahren durchgeführt habe. Das Gutachten der ABI erlaube keine schlüssige Beurteilung der massgeblichen Indikatoren, weshalb die Sache an die Vorinstanz zurückzuweisen sei.</w:t>
      </w:r>
    </w:p>
    <w:p>
      <w:r>
        <w:rPr>
          <w:b/>
        </w:rPr>
        <w:t>E. 3.1</w:t>
      </w:r>
    </w:p>
    <w:p>
      <w:r>
        <w:t>Nach der überarbeiteten Rechtsprechung ist bei der Invaliditätsbemessung aufgrund psychosomatischer Störungen stärker als bisher der Aspekt der funktionellen Auswirkungen zu berücksichtigen, was sich in den diagnostischen Anforderungen niederschlagen muss. Auf der Ebene der Arbeitsunfähigkeit wird an der Überwindbarkeitsvermutung nicht festgehalten. Das bisherige Regel/Ausnahme-Modell wird durch ein strukturiertes Beweisverfahren ersetzt ( BGE 141 V 281 Regeste).</w:t>
      </w:r>
    </w:p>
    <w:p>
      <w:r>
        <w:rPr>
          <w:b/>
        </w:rPr>
        <w:t>E. 3.2</w:t>
      </w:r>
    </w:p>
    <w:p>
      <w:r>
        <w:t>Die medizinischen Sachverständigen sollen die Diagnose einer anhaltenden somatoformen Schmerzstörung (ICD-10 Ziff. F45.40) so begründen, dass die Rechtsanwender nachvollziehen können, ob die klassifikatorischen Vorgaben tatsächlich eingehalten sind. Dem diagnoseninhärenten Schweregrad der somatoformen Schmerzstörung ist vermehrt Rechnung zu tragen: Als "vorherrschende Beschwerde" verlangt wird "ein andauernder, schwerer und quälender Schmerz" ( BGE 141 V 281 E. 2.1.1 S. 285 f. mit Hinweis auf: Weltgesundheitsorganisation, Internationale Klassifikation psychischer Störungen, ICD-10 Kapitel V (F), Klinisch-diagnostische Leitlinien, DILLING/MOMBOUR/ SCHMIDT [Hrsg.], 9. Aufl. 2014, Ziff. F45.4 S. 233). Ausgangspunkt der Anspruchsprüfung nach Art. 4 Abs. 1 IVG sowie Art. 6 ff. und insbesondere Art. 7 Abs. 2 ATSG ist die medizinische Befundlage . Eine Einschränkung der Leistungsfähigkeit kann immer nur dann anspruchserheblich sein, wenn sie Folge einer Gesundheitsbeeinträchtigung ist, die fachärztlich einwandfrei diagnostiziert worden ist ( BGE 141 V 281 E. 2.1 S. 285 mit Hinweis).</w:t>
      </w:r>
    </w:p>
    <w:p>
      <w:r>
        <w:rPr>
          <w:b/>
        </w:rPr>
        <w:t>E. 4.1</w:t>
      </w:r>
    </w:p>
    <w:p>
      <w:r>
        <w:t>Es liegt hauptsächlich das polydisziplinäre ABI-Gutachten vom   11. Juni 2013 mit den ergänzenden Stellungnahmen vom 11. Dezember 2013 und 26. Mai 2014 vor. Dieses gibt genügenden Aufschluss für die Beurteilung des Gesundheitszustands nach den Vorgaben von BGE 141 V 281 , zumal beschwerdeweise nicht dargetan wird, weshalb die Beweiswertigkeit der Expertise nicht ausreichen sollte (vgl. Art. 42 Abs. 1 und 2 BGG ). Weitere Abklärungen sind daher nicht erforderlich.</w:t>
      </w:r>
    </w:p>
    <w:p>
      <w:r>
        <w:rPr>
          <w:b/>
        </w:rPr>
        <w:t>E. 4.2</w:t>
      </w:r>
    </w:p>
    <w:p>
      <w:r>
        <w:t>Die Vorinstanz hat gestützt auf das ABI-Gutachten vom 11. Juni 2013 festgestellt, dass ein pathogenetisch-ätiologisch unklares syndromales Beschwerdebild ohne nachweisbare organische Grundlagen gemäss BGE 139 V 547 E. 6 f. S. 559 ff. mit Hinweisen vorlag. Sie gelangte zum Schluss, dass weder eine mitwirkende psychisch ausgewiesene Komorbidität von erheblicher Schwere, Intensität, Ausprägung und Dauer ausgewiesen, noch die weiteren Morbiditätskriterien erfüllt seien, weshalb eine invalidenversicherungsrechtlich massgebliche Arbeitsunfähigkeit in Bestätigung der Aufhebungsverfügung vom 22. Oktober 2014 nicht mehr gegeben war.</w:t>
      </w:r>
    </w:p>
    <w:p>
      <w:r>
        <w:rPr>
          <w:b/>
        </w:rPr>
        <w:t>E. 4.3.1</w:t>
      </w:r>
    </w:p>
    <w:p>
      <w:r>
        <w:t>Auch wenn bei der Beschwerdeführerin Leistungseinbussen bestanden, verneinten die Gutachter der ABI ausdrücklich eine schwere psychische Störung (wie auch eine schwere somatische Erkrankung). Laut Angaben des psychiatrischen Sachverständigen waren eine Neurasthenie (ICD-10 F 48.0) und eine undifferenzierte Somatisierungsstörung (ICD-10 F45.1) zu diagnostizieren, ohne dass eine schwere psychiatrische Komorbidität gegeben war. So pflegte die Versicherte gute Kontakte innerhalb der Familie und zum sonstigen sozialen Umfeld ohne Rückzugstendenzen. Der Medikamentenspiegel des verordneten Antidepressivums lag im unteren therapeutischen Bereich und eine psychiatrisch-psychotherapeutische Behandlung erfolgte nie, was ohne Weiteres auf eine mangelnde Compliance und damit einen fehlenden Leidensdruck schliessen liess. Die Hinweise auf einen sekundären Krankheitsgewinn (Haushaltarbeiten wurden von Familienmitgliedern, Freunden oder Bekannten verrichtet) und auf psychosoziale Belastungsfaktoren (wie Abhängigkeit von der Invalidenrente) waren medizinisch als invaliditätsfremd zu beurteilen. Angesichts der deutlich ausgeprägten Krankheits- und Behinderungsüberzeugung konnten die Experten der ABI auch im Rahmen der interdisziplinären Konsensbesprechung keine beruflichen Massnahmen empfehlen. Mit Blick auf das funktionelle Leistungsvermögen und die Verfügbarkeit psychischer Ressourcen (vgl. SVR 2008 IV Nr. 8 S. 24, I 649/06 E. 3.2 und E. 3.3.1) beurteilten sie die Arbeitsfähigkeit als nicht eingeschränkt; der Versicherten sei zuzumuten, die angestammten Tätigkeiten als kaufmännische Angestellte und als Geschäftsinhaberin einer Kleiderboutique sowie jede andere vergleichbare, leichte bis mittelschwere, wechselbelastende Beschäftigung vollumfänglich auszuüben.</w:t>
      </w:r>
    </w:p>
    <w:p>
      <w:r>
        <w:rPr>
          <w:b/>
        </w:rPr>
        <w:t>E. 4.3.2</w:t>
      </w:r>
    </w:p>
    <w:p>
      <w:r>
        <w:t>Es ist darauf hinzuweisen, dass der psychiatrisch angegebenen Neurasthenie und undifferenzierten Somatisierungsstörung ein diagnoseninhärenter Bezug zum Schweregrad fehlt (vgl. Urteil 8C_478/2015 vom 12. Februar 2016 E. 4.2 und E. 4.4, zur Publikation in BGE 142 V vorgesehen). Weiter ist zu bemerken, dass gemäss Art. 7 Abs. 2 ATSG für die Beurteilung des Vorliegens einer Erwerbsunfähigkeit ausschliesslich die Folgen der gesundheitlichen Beeinträchtigung zu berücksichtigen sind (Satz 1) und eine Erwerbsunfähigkeit zudem nur vorliegen kann, wenn sie aus objektiver Sicht nicht überwindbar ist (Satz 2). Die Praxisänderung gemäss BGE 141 V 281 hat an dieser Gesetzeslage nichts geändert. Der funktionelle Schweregrad einer Störung beurteilt sich nach wie vor nach deren konkreten funktionellen Auswirkungen, insbesondere danach, wie stark die versicherte Person in sozialen, beruflichen oder anderen wichtigen Funktionsbereichen schmerzbedingt beeinträchtigt ist (Urteil 9C_125/2015 vom 18. November 2015 E. 7.1 mit Hinweis). Eine solche Beeinträchtigung liegt hier aufgrund des in allen Teilen überzeugenden Gutachtens der ABI vom 11. Juni 2013 nicht vor, zumal aus psychiatrischer Sicht, weder eine Diagnose mit dem nötigen Bezug zum Schweregrad, noch eine Arbeitsunfähigkeit gegeben ist.</w:t>
      </w:r>
    </w:p>
    <w:p>
      <w:r>
        <w:rPr>
          <w:b/>
        </w:rPr>
        <w:t>E. 4.3.3</w:t>
      </w:r>
    </w:p>
    <w:p>
      <w:r>
        <w:t>Nach dem Gesagten hat das kantonale Gericht im Ergebnis zu Recht gestützt auf das Gutachten der ABI festgestellt, dass die Versicherte an keinen die Arbeitsfähigkeit beeinträchtigenden psychosomatischen Störungen litt, weshalb sich eine Prüfung der Standardindikatoren gemäss BGE 141 V 181 E. 4 S. 294 ff. erübrigt (vgl. 9C_481/2015 vom 16. Februar 2016 E. 4.2.4). Die Folgen der Beweislosigkeit hat die materiell beweisbelastete Beschwerdeführerin zu tragen ( BGE 141 V 281 E. 6 S. 308).</w:t>
      </w:r>
    </w:p>
    <w:p>
      <w:r>
        <w:rPr>
          <w:b/>
        </w:rPr>
        <w:t>E. 5</w:t>
      </w:r>
    </w:p>
    <w:p>
      <w:r>
        <w:t>Der Beschwerdeführerin werden als unterliegender Partei die Gerichtskosten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