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8C_616/2018 vom 3. Juni 2019</w:t>
      </w:r>
    </w:p>
    <w:p>
      <w:r>
        <w:t>Bundesgericht, 2019-06-03, IT</w:t>
      </w:r>
    </w:p>
    <w:p>
      <w:r>
        <w:rPr>
          <w:b/>
        </w:rPr>
        <w:t xml:space="preserve">Quelle: </w:t>
      </w:r>
      <w:r>
        <w:t>https://mcp.opencaselaw.ch/entscheid/bger_8C_616_2018</w:t>
      </w:r>
    </w:p>
    <w:p>
      <w:r>
        <w:t>FR: TF 8C_616/2018 du 3 juin 2019</w:t>
      </w:r>
    </w:p>
    <w:p>
      <w:r>
        <w:t>IT: TF 8C_616/2018 del 3 giugno 2019</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la questione se il Tribunale delle assicurazioni ha a ragione confermato la decisione su opposizione con cui l'assicuratore ha negato una rendita di invalidità.</w:t>
      </w:r>
    </w:p>
    <w:p>
      <w:r>
        <w:rPr>
          <w:b/>
        </w:rPr>
        <w:t>E. 3.1</w:t>
      </w:r>
    </w:p>
    <w:p>
      <w:r>
        <w:t>Il Tribunale delle assicurazioni ha fondato il proprio giudizio sulle valutazioni del Dr. med. B.________ espresse in occasione della visita di chiusura del 1° settembre 2016 e con apprezzamento medico del 12 ottobre 2017, dopo aver preso visione del mansionario allestito in occasione del colloquio del 26 febbraio 2015 con il datore di lavoro. I giudici ticinesi hanno ricordato anche il referto del Dr. med. C.________ del 18 gennaio 2018 e il successivo referto del 30 gennaio 2018 del Dr. med. B.________. In definitiva, il Tribunale delle assicurazioni ha concluso che i pareri espressi dal Dr. med. B.________ potessero costituire validamente base del loro giudizio, senza approfondimenti istruttori. Le valutazioni del Dr. med. C.________ secondo i giudici cantonali non corrispondono con il mansionario allestito con il datore di lavoro. Malgrado il danno all'arto superiore sinistro, la Corte cantonale ne ha concluso che l'esigibilità lavorativa è rimasta immutata senza discapito economico.</w:t>
      </w:r>
    </w:p>
    <w:p>
      <w:r>
        <w:rPr>
          <w:b/>
        </w:rPr>
        <w:t>E. 3.2</w:t>
      </w:r>
    </w:p>
    <w:p>
      <w:r>
        <w:t>Il ricorrente, richiamato il giudizio impugnato e in modo particolare l'esigibilità lavorativa accertata dalla Corte cantonale, contesta un reddito da invalido fissato a fr. 117'712.-, poiché inizialmente l'assicurato non era fuochino di polveriera. Al momento del primo infortunio svolgeva la mansione di capo-sciolta di una squadra di avanzamento. Nel caso concreto, il ricorrente ha beneficiato quindi di un salario sociale. Se non avesse avuto i due infortuni, l'assicurato avrebbe continuato a svolgere la mansione di capo-sciolta fino al pensionamento. In altre parole, l'eventuale reddito di fr. 117'112.- deve essere considerato come reddito da valido. Del resto, la professione di fuochino da polveriera non può essere considerata come attività adeguata, visto che il ricorrente ha esercitato questa mansione per poco più di tre mesi, dopo l'infortunio del 14 giugno 2015, in seguito non ha più lavorato. Tale attività inoltre non avrebbe nessun mercato in Svizzera. Il reddito da invalido non può quindi essere superiore a fr. 57'048.70, che corrisponde al reddito statistico per un'attività semplice, leggera e non qualificata, la quale beneficia di una riduzione sociale del 15%.</w:t>
      </w:r>
    </w:p>
    <w:p>
      <w:r>
        <w:rPr>
          <w:b/>
        </w:rPr>
        <w:t>E. 4.1</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4.2</w:t>
      </w:r>
    </w:p>
    <w:p>
      <w:r>
        <w:t>Le tesi del ricorrente sono destinate all'insuccesso. Infatti, le considerazioni del Dr. med. C.________ pongono conclusioni basate su ipotesi elaborate dallo stesso medico. Non solo la stessa valutazione è stata ancora oggetto di esame del Dr. med. B.________, ma non si basa, come accertato dalla Corte cantonale, sul mansionario comunicato dal datore di lavoro. Alla luce di queste considerazioni, nelle valutazioni del Dr. med. B.________ non può sussistere nemmeno il minimo dubbio sulla loro attendibilità. In tali circostanze, l'assicurato non subisce effettivamente alcun danno economico. Le valutazioni ipotetiche espresse dal ricorrente sul reddito da valido e da invalido cadono di conseguenza. Per il resto, si può rinviare ai pertinenti considerandi della Corte cantonale ( art. 109 cpv. 3 LTF ).</w:t>
      </w:r>
    </w:p>
    <w:p>
      <w:r>
        <w:rPr>
          <w:b/>
        </w:rPr>
        <w:t>E. 5</w:t>
      </w:r>
    </w:p>
    <w:p>
      <w:r>
        <w:t>Ne segue che il ricorso, manifestamente infondato, può essere respinto secondo la procedura semplificata dell' art. 109 cpv. 1 lett. a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