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8C_615/2013 vom 5. Dezember 2013</w:t>
      </w:r>
    </w:p>
    <w:p>
      <w:r>
        <w:t>Bundesgericht, 2013-12-05, DE</w:t>
      </w:r>
    </w:p>
    <w:p>
      <w:r>
        <w:rPr>
          <w:b/>
        </w:rPr>
        <w:t xml:space="preserve">Quelle: </w:t>
      </w:r>
      <w:r>
        <w:t>https://mcp.opencaselaw.ch/entscheid/bger_8C_615_2013</w:t>
      </w:r>
    </w:p>
    <w:p>
      <w:r>
        <w:t>FR: TF 8C_615/2013 du 5 décembre 2013</w:t>
      </w:r>
    </w:p>
    <w:p>
      <w:r>
        <w:t>IT: TF 8C_615/2013 del 5 dicembre 2013</w:t>
      </w:r>
    </w:p>
    <w:p>
      <w:pPr>
        <w:pStyle w:val="Heading2"/>
      </w:pPr>
      <w:r>
        <w:t>Erwägungen</w:t>
      </w:r>
    </w:p>
    <w:p>
      <w:r>
        <w:rPr>
          <w:b/>
        </w:rPr>
        <w:t>E. 1.1</w:t>
      </w:r>
    </w:p>
    <w:p>
      <w:r>
        <w:t>Der Beschwerdeführer reicht eine subsidiäre Verfassungsbeschwerde nach Art. 113 ff. BGG ein. In der vorliegenden Streitsache handelt es sich um einen Endentscheid ( Art. 90 BGG ) einer letzten kantonalen Instanz ( Art. 86 Abs. 1 lit. d BGG ) in einer Angelegenheit des öffentlichen Rechts ( Art. 82 lit. a BGG ), die unter keinen Ausschlussgrund nach Art. 83 BGG fällt, weshalb eine Beschwerde in öffentlich-rechtlichen Angelegenheiten einzureichen gewesen wäre. Eine falsche Bezeichnung schadet indes nicht ( BGE 133 II 409 E. 1.1 S. 411). Die subsidiäre Verfassungsbeschwerde ist somit als Beschwerde in öffentlich-rechtlichen Angelegenheiten entgegenzunehmen (Urteil 2C_840/2009 vom 21. Juni 2010 E. 1.1).</w:t>
      </w:r>
    </w:p>
    <w:p>
      <w:r>
        <w:rPr>
          <w:b/>
        </w:rPr>
        <w:t>E. 1.2</w:t>
      </w:r>
    </w:p>
    <w:p>
      <w:r>
        <w:t>Die Beschwerde in öffentlich-rechtlichen Angelegenheiten kann wegen Rechtsverletzung gemäss Art. 95 f. BGG erhoben werden. Im Beschwerdefahren um die Zusprechung oder Verweigerung von Geldleistungen der Militär- oder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1.3</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367 E. 5.2 S. 373, 274 E. 1.6 S. 280 f.).</w:t>
      </w:r>
    </w:p>
    <w:p>
      <w:r>
        <w:rPr>
          <w:b/>
        </w:rPr>
        <w:t>E. 2</w:t>
      </w:r>
    </w:p>
    <w:p>
      <w:r>
        <w:t>Das kantonale Gericht hat die für die Beurteilung der Streitsache massgeblichen Rechtsgrundlagen im angefochtenen Entscheid zutreffend dargelegt. Darauf wird verwiesen ( Art. 109 Abs. 3 Satz 2 BGG ).</w:t>
      </w:r>
    </w:p>
    <w:p>
      <w:r>
        <w:rPr>
          <w:b/>
        </w:rPr>
        <w:t>E. 3</w:t>
      </w:r>
    </w:p>
    <w:p>
      <w:r>
        <w:t>Soweit der Beschwerdeführer vor Bundesgericht neue, vom vorinstanzlich und von der Vaudoise festgestellten Sachverhalt abweichende Tatsachenbehauptungen vorbringt, handelt es sich um - auch in Verfahren betreffend die Zusprechung oder Verweigerung von Geldleistungen der Unfallversicherung ( BGE 135 V 194 E. 2 und 3 S. 196 ff.) - unzulässige Noven im Sinne von Art. 99 Abs. 1 BGG , welche hier nicht zu berücksichtigen sind (Urteil 8C_14/2013 vom    20. August 2013 E. 1.3 mit Hinweisen), zumal der Versicherte keine Gründe anführt, inwiefern erst der angefochtene Entscheid den Anlass zu diesen Vorbringen gegeben habe.</w:t>
      </w:r>
    </w:p>
    <w:p>
      <w:r>
        <w:rPr>
          <w:b/>
        </w:rPr>
        <w:t>E. 4</w:t>
      </w:r>
    </w:p>
    <w:p>
      <w:r>
        <w:t>Der Beschwerdeführer rügt, die Vorinstanz habe das Rechtsgleichheitsgebot ( Art. 8 Abs. 1 BV ) und das Willkürverbot ( Art. 9 BV ) verletzt, indem sie ausser Acht gelassen habe, dass die Voraussetzungen für die Ausrichtung einer Integritätsentschädigung nicht von allen Unfallversicherern, welche zur Durchführung des Bundesgesetzes über die Unfallversicherung (UVG) zugelassen sind, einheitlich gehandhabt würden. Im Rahmen der schon im vorinstanzlichen Beschwerdeverfahren gewährleisteten Rechtsanwendung von Amtes wegen    ( Art. 110 BGG ) war sichergestellt, dass allfällige unterschiedliche Praxen bei der Bemessung der Integritätsentschädigung (Art. 25    Abs. 2 UVG in Verbindung mit Art. 36 Abs. 2 UVV und Anhang 3 zur UVV) bereits durch das kantonale Gericht korrigiert würden. Der Versicherte behauptet nicht und legt auch nicht dar, inwiefern die Vorinstanz in konkreten Fällen mit identischen Unfallfolgen einen Anspruch auf Integritätsentschädigung bejaht habe. Die Ausführungen des Beschwerdeführers genügen der qualifizierten Rügepflicht (E. 1.3 hievor) nicht.</w:t>
      </w:r>
    </w:p>
    <w:p>
      <w:r>
        <w:rPr>
          <w:b/>
        </w:rPr>
        <w:t>E. 5</w:t>
      </w:r>
    </w:p>
    <w:p>
      <w:r>
        <w:t>Da die Beschwerde offensichtlich unbegründet ist, wird sie im vereinfachten Verfahren nach Art. 109 Abs. 2 lit. a BGG - ohne Durchführung des Schriftenwechsels, mit summarischer Begründung und unter Verweis auf den kantonalen Entscheid ( Art. 102 Abs. 1 und Art. 109 Abs. 3 BGG ) - erledigt.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