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613/2007 vom 15. Februar 2008</w:t>
      </w:r>
    </w:p>
    <w:p>
      <w:r>
        <w:t>Bundesgericht, 2008-02-15, DE</w:t>
      </w:r>
    </w:p>
    <w:p>
      <w:r>
        <w:rPr>
          <w:b/>
        </w:rPr>
        <w:t xml:space="preserve">Quelle: </w:t>
      </w:r>
      <w:r>
        <w:t>https://mcp.opencaselaw.ch/entscheid/bger_8C_613_2007</w:t>
      </w:r>
    </w:p>
    <w:p>
      <w:r>
        <w:t>FR: TF 8C 613/2007 du 15 février 2008</w:t>
      </w:r>
    </w:p>
    <w:p>
      <w:r>
        <w:t>IT: TF 8C 613/2007 del 15 febbraio 2008</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S. 4338). Die Beschwerde führende Partei, welche die Sachverhaltsfeststellungen der Vorinstanz anfechten will, muss substantiiert darlegen, inwiefern die Voraussetzungen einer Ausnahme gemäss Art. 105 Abs. 2 BGG gegeben sind. Andernfalls kann ein von dem im angefochtenen Entscheid festgestellten abweichender Sachverhalt nicht berücksichtigt werden (vgl. BGE 130 III 136 E. 1.4 S. 140). Neue Tatsachen und Beweismittel dürfen nur soweit vorgebracht werden, als der Entscheid der Vorinstanz dazu Anlass gibt. Neue Begehren sind unzulässig ( Art. 99 Abs. 1 und 2 BGG ). Das Bundesgericht darf nicht über die Begehren der Parteien hinausgehen ( Art. 107 Abs. 1 BGG ).</w:t>
      </w:r>
    </w:p>
    <w:p>
      <w:r>
        <w:rPr>
          <w:b/>
        </w:rPr>
        <w:t>E. 2</w:t>
      </w:r>
    </w:p>
    <w:p>
      <w:r>
        <w:t>Der Beschwerdeführer verlangt, die Vorinstanz sei anzuweisen, seinem vorinstanzlichen Rechtsvertreter eine angemessene Parteientschädigung zuzusprechen. Die Vorinstanz hat unter Hinweis auf Art. 3 Abs. 2 und Art. 6 Abs. 1 BGFA sowie § 2 Abs. 1 der schwyzerischen Anwaltsverordnung erwogen, die Beschwerde sei als in eigenem Namen eingereicht zu betrachten, weil der Rechtsvertreter des Versicherten aus dem Anwaltsregister gelöscht worden sei. Diesbezüglich bringt der Versicherte letztinstanzlich keine stichhaltigen Rügen vor (vgl. E. 1 hievor). Weiter ist zu beachten, dass ihm im kantonalen Verfahren die unentgeltliche Prozessführung gewährt wurde. Im Streit um das Armenrechtshonorar kommt nicht dem Beschwerdeführer, sondern seinem unentgeltlichen Rechtsbeistand Parteistellung zu (vgl. § 5 des schwyzerischen Gebührentarifs für Rechtsanwälte; BGE 131 V 153 E. 1 S. 155, SVR 1995 ALV Nr. 42 S. 119 E. 4, Urteil 8F_8/2007 vom 4. Oktober 2007, E. 2.1, je mit Hinweisen). Demnach ist in diesem Punkt auf die Beschwerde nicht einzutreten.</w:t>
      </w:r>
    </w:p>
    <w:p>
      <w:r>
        <w:rPr>
          <w:b/>
        </w:rPr>
        <w:t>E. 3</w:t>
      </w:r>
    </w:p>
    <w:p>
      <w:r>
        <w:t>Die Vorinstanz hat die Bestimmungen und Grundsätze über die Arbeitsunfähigkeit ( Art. 6 ATSG ), die Invalidität ( Art. 8 Abs. 1 ATSG ; Art. 4 Abs. 1 IVG ), die Erwerbsunfähigkeit ( Art. 7 ATSG ; BGE 130 V 343 E. 3.2 S. 346), die Voraussetzungen und den Umfang des Rentenanspruchs ( Art. 28 Abs. 1 IVG in der 1. Januar 2004 geltenden Fassung), die Invaliditätsbemessung bei erwerbstätigen Versicherten nach der Einkommensvergleichsmethode ( Art. 16 ATSG ; BGE 130 V 343 E. 3.4 S. 348), den Rentenbeginn ( Art. 29 Abs. 1 IVG ; BGE 121 V 264 ), die Ermittlung des ohne Invalidität erzielbaren Einkommens (Valideneinkommen; BGE 129 V 222 E. 4.3.1 S. 224 mit Hinweis) sowie die Bestimmung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zutreffend dargelegt. Gleiches gilt zu der im Sozialversicherungsrecht geltenden Schadenminderungspflicht der versicherten Person ( BGE 130 V 97 E. 3.2 S. 99, 129 V 460 E. 4.2 S. 463), zur Aufgabe des Arztes im Rahmen der Invaliditätsbemessung ( BGE 125 V 256 E. 4 S. 261) sowie zum Grundsatz der freien Beweiswürdigung und zum Beweiswert von Arztberichten ( BGE 125 V 351 E. 3 S. 352, SVR 2007 UV Nr. 33 S. 111 E. 4.2, U 571/06, je mit Hinweisen). Darauf wird verwiesen.</w:t>
      </w:r>
    </w:p>
    <w:p>
      <w:r>
        <w:rPr>
          <w:b/>
        </w:rPr>
        <w:t>E. 4</w:t>
      </w:r>
    </w:p>
    <w:p>
      <w:r>
        <w:t>Die aufgrund von medizinischen Untersuchungen gerichtlich festgestellte Arbeits(un)fähigkeit ist Entscheidung über eine Tatfrage. Analoges gilt auch für die Frage, ob sich eine Arbeits(un)fähigkeit in einem bestimmten Zeitraum verändert hat.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 Die konkrete Beweiswürdigung stellt eine Tatfrage dar. Dagegen ist die Beachtung des Untersuchungsgrundsatzes und der Beweiswürdigungsregeln nach Art. 61 lit. c ATSG Rechtsfrage ( BGE 132 V 393 E. 3.2 und 4 S. 397 ff.; Urteil 8C_533/2007 vom 9. Januar 2008, E. 4).</w:t>
      </w:r>
    </w:p>
    <w:p>
      <w:r>
        <w:rPr>
          <w:b/>
        </w:rPr>
        <w:t>E. 5.1</w:t>
      </w:r>
    </w:p>
    <w:p>
      <w:r>
        <w:t>Die Vorinstanz hat in Würdigung des polydisziplinären MEDAS-Gutachtens vom 13. Januar 2006 und der übrigen medizinischen Akten, insbesondere auch der vom Versicherten vorinstanzlich neu aufgelegten Berichte des Spitals X.________ vom 11. Dezember 2006 und 31. Januar 2007, sowie nach Durchführung eines Einkommensvergleichs mit einlässlicher Begründung, auf die verwiesen wird, zutreffend erkannt, dass der Beschwerdeführer bis zum massgebenden Zeitpunkt des Einspracheentscheides (31. Januar 2007; BGE 129 V 167 E. 1 S. 169) keinen Rentenanspruch hatte. Eine zusätzliche medizinische Abklärung ist nicht durchzuführen, da hievon keine neuen Erkenntnisse zu erwarten sind. In einem solchen Vorgehen liegt entgegen der Auffassung des Beschwerdeführers kein Verstoss gegen den Anspruch auf rechtliches Gehör gemäss Art. 29 Abs. 2 BV (antizipierte Beweiswürdigung; BGE 131 I 153 E. 3 S. 157, 124 V 90 E. 4b S. 94; SVR 2007 IV Nr. 45 S. 149 E. 4, I 9/07).</w:t>
      </w:r>
    </w:p>
    <w:p>
      <w:r>
        <w:rPr>
          <w:b/>
        </w:rPr>
        <w:t>E. 5.2</w:t>
      </w:r>
    </w:p>
    <w:p>
      <w:r>
        <w:t>Die Vorbringen des Versicherten, die sich in erster Linie in rein appellatorischer Kritik des vorinstanzlichen Entscheides erschöpfen, vermögen an diesem Ergebnis nichts zu ändern. Er erhebt keine Rügen, welche die Sachverhaltsfeststellung der Vorinstanz betreffend seine Restarbeitsfähigkeit (volle Arbeitsfähigkeit für grob-visuelle Arbeiten, z.B. Reinigungsarbeiten) als offensichtlich unrichtig oder auf einer Rechtsverletzung im Sinne von Art. 95 BGG beruhend erscheinen lassen (E. 1.2 hievor). Nicht gefolgt werden kann dem Einwand des Beschwerdeführers, sein Gesundheitszustand habe sich seit der Untersuchung in der MEDAS vom 18./19. Oktober 2005 bis zum Zeitpunkt des Einspracheentscheides verschlechtert. Denn die Vorinstanz hat in Würdigung der Berichte des Spitals X.________ vom 11. Dezember 2006 und 31. Januar 2007 zutreffend dargelegt, dass dies nicht zutrifft. Der Versicherte wendet ein, gemäss dem MEDAS-Gutachten könne er seine bisherigen Tätigkeiten nicht mehr ausüben. Er übersieht, dass die Einbusse an funktionellem Leistungsvermögen im bisherigen Beruf oder Aufgabenbereich einzig für die Bestimmung des allfälligen Rentenbeginns im Wartejahr nach Art. 29 Abs. 1 lit. b IVG relevant ist. Für die Bemessung des Invaliditätsgrades massgebend ist indessen die Arbeitsfähigkeit in einer zumutbaren anderen Erwerbstätigkeit (vgl. Art. 7 und Art. 16 ATSG ; BGE 130 V 97 E. 3.2 S. 99, 343 E. 3.2.1 S. 346, E. 3.4 S. 348, je mit Hinweisen). Diese Grundsätze hat die Vorinstanz berücksichtigt. Der Versicherte bringt vor, die Vorinstanz habe ihm in menschenunwürdiger Weise vorgeworfen, er sei an seinem Gesundheitszustand wegen seines Übergewichts selber schuld. Dieser Einwand ist nicht stichhaltig. Zum einen hat die Vorinstanz nur den Vorschlag der MEDAS wiedergegeben, es sei beim Versicherten auf eine weitere Gewichtsabnahme hinzuwirken, und vermerkt, hiezu sei er aufgrund der Schadenminderungspflicht angehalten. Diese vorinstanzliche Argumentation kann nicht als menschenunwürdig beurteilt werden. Zum anderen ist zu beachten, dass das Übergewicht des Beschwerdeführers laut dem MEDAS-Gutachten keine wesentliche Einschränkung der Arbeitsfähigkeit zur Folge hat. Der Versicherte macht geltend, wegen seiner Sehschwäche könne er auch grob-visuelle Arbeiten nur langsam und mit entsprechenden Aussetzern allenfalls durchführen. Einem solchen Arbeiter würde niemand eine Stelle geben; andernfalls würde das höchstens zu einem halben Arbeitseinkommen führen. Sein Invalideneinkommen sei auf rund Fr. 25'000.- (Fr. 2000.- pro Monat) festzusetzen, was verglichen mit dem vorinstanzlich ermittelten Valideneinkommen von Fr. 57'764.- Anspruch auf eine halbe Invalidenrente gebe. Entgegen der Auffassung des Versicherten verfügt er trotz der attestierten gesundheitlichen Einschränkungen noch über eine Restarbeitsfähigkeit, deren zumutbare Verwertbarkeit auf dem ausgeglichenen Arbeitsmarkt ( Art. 16 ATSG ) im von Verwaltung und Vorinstanz angenommenen Ausmass bejaht werden kann (vgl. SVR 2001 IV Nr. 10 S. 27 E. 4a [I 362/99], AHI 1998 S. 287 ff. E. 3b, Urteil I 942/06 vom 24. September 2007, E. 4.2.2, je mit Hinweisen). Um den persönlichen und beruflichen Umständen des Versicherten Rechnung zu tragen, hat die Vorinstanz beim gestützt auf die LSE-Tabelle ermittelten Invalideneinkommen einen Abzug von 15 % vorgenommen, was nicht als rechtsfehlerhafte Ermessensausübung qualifiziert werden kann (vgl. BGE 132 V 393 E. 3.3 S. 399, 129 V 475 E. 4.2.3 S. 481). Im Übrigen hat sie aufgezeigt, dass selbst bei Vornahme des maximal zulässigen Tabellenlohn-Abzugs von 25 % kein rentenbegründender Invaliditätsgrad resultieren würde.</w:t>
      </w:r>
    </w:p>
    <w:p>
      <w:r>
        <w:rPr>
          <w:b/>
        </w:rPr>
        <w:t>E. 6</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