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 610/2024 vom 11. Dezember 2024</w:t>
      </w:r>
    </w:p>
    <w:p>
      <w:r>
        <w:t>Bundesgericht, 2024-12-11, IT</w:t>
      </w:r>
    </w:p>
    <w:p>
      <w:r>
        <w:rPr>
          <w:b/>
        </w:rPr>
        <w:t xml:space="preserve">Quelle: </w:t>
      </w:r>
      <w:r>
        <w:t>https://mcp.opencaselaw.ch/entscheid/bger_8C_610_2024</w:t>
      </w:r>
    </w:p>
    <w:p>
      <w:r>
        <w:t>FR: TF 8C 610/2024 du 11 décembre 2024</w:t>
      </w:r>
    </w:p>
    <w:p>
      <w:r>
        <w:t>IT: TF 8C 610/2024 del 11 dicembre 2024</w:t>
      </w:r>
    </w:p>
    <w:p>
      <w:pPr>
        <w:pStyle w:val="Heading2"/>
      </w:pPr>
      <w:r>
        <w:t>Regeste</w:t>
      </w:r>
    </w:p>
    <w:p>
      <w:r>
        <w:t>Assicurazione contro la disoccupazione (presupposto processuale) | Assicurazione contro la disoccupazione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Secondo l' art. 95 LTF il ricorrente può far valere, tra l'altro, la violazione del diritto federale (lett. a), mentre l'accertamento dei fatti può essere censurato solo se è stato svolto in modo manifestamente inesatto o in violazione del diritto ai sensi dell' art. 95 LTF e l'eliminazione del vizio può essere determinante per l'esito del procedimento ( art. 97 cpv. 1 LTF ). Conformemente all' art. 42 cpv. 1 e 2 LTF , il ricorso deve contenere, tra l'altro, le conclusioni e i motivi, spiegando in modo conciso perché l'atto impugnato viola il diritto. È necessario confrontarsi specificatamente con i considerandi della sentenza impugnata e spiegare in dettaglio quali disposizioni siano state violate dall'autorità inferiore e perché ( DTF 134 V 53 consid. 3.3; 133 IV 286 consid. 1.4). La semplice ripetizione del proprio punto di vista o la mera affermazione che il giudizio impugnato sia sbagliato non è sufficiente (sull'inammissibilità di critiche appellatorie, cfr. DTF 148 IV 205 consid. 2.6; 144 V 50 consid. 4.2; 137 V 57 consid. 1.3).</w:t>
      </w:r>
    </w:p>
    <w:p>
      <w:r>
        <w:rPr>
          <w:b/>
        </w:rPr>
        <w:t>E. 2</w:t>
      </w:r>
    </w:p>
    <w:p>
      <w:r>
        <w:t>Nel giudizio impugnato, il Tribunale cantonale ha confermato la decisione su opposizione dell'opponente del 29 aprile 2024 con la quale è stata richiesta la restituzione delle indennità di disoccupazione indebitamente percepite dal 1° aprile 2019 sino al 31 marzo 2021. La Corte cantonale ha ritenuto che in tale periodo il ricorrente avesse ricoperto una posizione analoga a quella di un datore di lavoro in seno a B.________ SA, azienda presso la quale era stato impiegato dal 28 gennaio 2017 fino al 31 marzo 2019. I primi giudici hanno in particolare considerato che egli aveva continuato a svolgervi un ruolo attivo, e meglio disponendo della possibilità di determinare o comunque influenzare risolutivamente le decisioni della stessa.</w:t>
      </w:r>
    </w:p>
    <w:p>
      <w:r>
        <w:rPr>
          <w:b/>
        </w:rPr>
        <w:t>E. 3</w:t>
      </w:r>
    </w:p>
    <w:p>
      <w:r>
        <w:t>Il ricorrente si limita a contrapporre una diversa versione dei fatti accertati nella sentenza cantonale, senza tuttavia né pretendere, né tantomeno dimostrare l'arbitrio nell'apprezzamento delle prove effettuato dall'istanza inferiore. Nel farlo, egli si riferisce peraltro a nuovi fatti e nuovi mezzi di prova ai sensi dell' art. 99 LTF , prodotti in questa sede tralasciando totalmente di esporre in che modo le relative condizioni di applicazione sarebbero adempiute e omettendo, pure, di spiegare in che modo una loro considerazione possa influire sull'esito della vertenza.</w:t>
      </w:r>
    </w:p>
    <w:p>
      <w:r>
        <w:rPr>
          <w:b/>
        </w:rPr>
        <w:t>E. 4</w:t>
      </w:r>
    </w:p>
    <w:p>
      <w:r>
        <w:t>Il ricorso non soddisfa manifestamente le esigenze formali di motivazione e, pertanto, statuendo secondo la procedura semplificata dell' art. 108 cpv. 1 lett. b LTF , deve essere dichiarato inammissibile.</w:t>
      </w:r>
    </w:p>
    <w:p>
      <w:r>
        <w:rPr>
          <w:b/>
        </w:rPr>
        <w:t>E. 5</w:t>
      </w:r>
    </w:p>
    <w:p>
      <w:r>
        <w:t>In applicazione dell'art. 66 cpv. 1 seconda frase LTF, si prescinde eccezionalmente dal caricare le spese giudiziarie alla parte soccombente. La domanda di assistenza giudiziaria diviene pertanto priva d'oggetto.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