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610/2023 vom 9. Oktober 2023</w:t>
      </w:r>
    </w:p>
    <w:p>
      <w:r>
        <w:t>Bundesgericht, 2023-10-09, DE</w:t>
      </w:r>
    </w:p>
    <w:p>
      <w:r>
        <w:rPr>
          <w:b/>
        </w:rPr>
        <w:t xml:space="preserve">Quelle: </w:t>
      </w:r>
      <w:r>
        <w:t>https://mcp.opencaselaw.ch/entscheid/bger_8C_610_2023</w:t>
      </w:r>
    </w:p>
    <w:p>
      <w:r>
        <w:t>FR: TF 8C 610/2023 du 9 octobre 2023</w:t>
      </w:r>
    </w:p>
    <w:p>
      <w:r>
        <w:t>IT: TF 8C 610/2023 del 9 ottobre 2023</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gelangte im Urteil vom 31. Juli 2023 in Auseinandersetzung mit den Parteivorbringen und in Würdigung der Akten zur Überzeugung, der Beschwerdegegner habe das Gesuch des Beschwerdeführers vom 7. November 2022 um Weiterausrichtung von Arbeitslosenversicherungsleistungen nach Ablauf der ersten Rahmenfrist per Ende November 2022 zufolge Wegfalls des Überbrückungscharakters der auf Abruf unregelmässig und weiterhin ausgeübten Arbeit abweisen dürfen. Zugleich überwies sie die Akten hinsichtlich des Anspruchs auf Arbeitslosenentschädigung ab dem 26. Januar 2023 an den Beschwerdegegner, damit dieser prüfe, ob die Arbeit auf Abruf ab diesem Zeitpunkt als beendigt zu betrachten und gestützt darauf neu wiederum Arbeitslosentaggelder auszurichten seien.</w:t>
      </w:r>
    </w:p>
    <w:p>
      <w:r>
        <w:rPr>
          <w:b/>
        </w:rPr>
        <w:t>E. 3</w:t>
      </w:r>
    </w:p>
    <w:p>
      <w:r>
        <w:t>Der Beschwerdeführer beanstandet dies, ohne indessen aufzuzeigen,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Insbesondere zeigt er nicht nachvollziehbar auf, inwiefern die vorinstanzliche Erwägung, wonach sich trotz des geltend gemachten Arbeitsrückgangs ab 1. Dezember 2022 wegen nicht unerheblicher Beschäftigungsschwankungen von bisher über 20 % kein Arbeitszeitausfall bestimmen lasse, rechtsfehlerbehaftet sein soll. Auch scheint er nicht zu erkennen, dass mit der Beschränkung des Versicherungsschutzes von Personen mit Arbeit auf Abruf auf Ende der ersten Leistungsrahmenfrist keine Benachteiligung gegenüber den (ganzarbeitslosen) Versicherten einhergeht, die in einer laufenden Rahmenfrist für den Leistungsbezug erst gar nicht gearbeitet oder einen teilzeitlichen Zwischenverdienst aufgenommen haben und diesen weiter ausüben. Während bei der Arbeit auf Abruf anfangs ein Überbrückungscharakter angenommen werden kann, liegt bei einer Tätigkeit mit vereinbartem Teilzeitpensum von Anfang an eine (neue) Dauerlösung vor, weshalb die Rechtsprechung zur Arbeit auf Abruf von vornherein nicht zur Anwendung gelangt (SVR 2016 ALV Nr. 1 S. 1 E. 4.3.1). Der Leistungsanspruch in einer Folgerahmenfrist ist in diesen Fällen - wie auch jenen, in denen erst gar keiner Erwerbstätigkeit nachgegangen wurde - bereits wegen der fehlenden Beitragszeit für den geltend gemachten Arbeitsausfall zu verneinen (in diesem Sinne bereits der von der Vorinstanz bei der Urteilsbegründung herangezogene BGE 146 V 112 E. 5.5 mit Hinweisen).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