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8C_609/2012 vom 8. November 2012</w:t>
      </w:r>
    </w:p>
    <w:p>
      <w:r>
        <w:t>Bundesgericht, 2012-11-08, DE</w:t>
      </w:r>
    </w:p>
    <w:p>
      <w:r>
        <w:rPr>
          <w:b/>
        </w:rPr>
        <w:t xml:space="preserve">Quelle: </w:t>
      </w:r>
      <w:r>
        <w:t>https://mcp.opencaselaw.ch/entscheid/bger_8C_609_2012</w:t>
      </w:r>
    </w:p>
    <w:p>
      <w:r>
        <w:t>FR: TF 8C_609/2012 du 8 novembre 2012</w:t>
      </w:r>
    </w:p>
    <w:p>
      <w:r>
        <w:t>IT: TF 8C_609/2012 del 8 novembre 2012</w:t>
      </w:r>
    </w:p>
    <w:p>
      <w:pPr>
        <w:pStyle w:val="Heading2"/>
      </w:pPr>
      <w:r>
        <w:t>Erwägungen</w:t>
      </w:r>
    </w:p>
    <w:p>
      <w:r>
        <w:rPr>
          <w:b/>
        </w:rPr>
        <w:t>E. 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w:t>
      </w:r>
    </w:p>
    <w:p>
      <w:r>
        <w:t>Beim kantonalen Entscheid vom 26. Juni 2012 handelt es sich um einen Zwischenentscheid: Die Vorinstanz hob die Verfügung der IV-Stelle vom 26. Januar 2012 auf und wies die Sache an diese zurück, damit sie im Sinne der Erwägungen verfahre. In den Erwägungen führte das kantonale Gericht aus, die Sache müsse zum Nachholen des Vorbescheidverfahrens an die IV-Stelle zurückgewiesen werden. Gleichzeitig hielt das Gericht fest, die Wiedererwägungsvoraussetzungen seien erfüllt, da die ursprüngliche Mitteilung zweifellos unrichtig gewesen sei. Zudem werde die IV-Stelle Art. 88bis Abs. 2 lit. a IVV analog anzuwenden haben, weshalb die Anspruchsänderung erst vom ersten Tag des zweiten der Zustellung der Verfügung folgenden Monats an wirksam werde. Die IV-Stelle macht geltend, durch diesen Entscheid einen nicht wieder gutzumachenden Nachteil zu erleiden: Könne sie diesen Entscheid nicht vor Bundesgericht anfechten, so habe dies zur Folge, dass sie gezwungen wäre, eine ihres Erachtens rechtswidrige Verfügung zu erlassen. Diese könne sie in der Folge nicht selber anfechten; da die Gegenpartei kein Interesse haben werde, den allenfalls zu ihren Gunsten rechtswidrigen Endentscheid anzufechten, könne der kantonale Vorentscheid nicht mehr korrigiert werden und würde zu einem nicht wieder gutzumachenden Nachteil für die Verwaltung führen (vgl. BGE 133 V 477 E. 5.2 S. 483 ff.). Sie erblickt dabei die rechtswidrige Anordnung darin, dass sie durch den kantonalen Entscheid gezwungen werde, Art. 88bis Abs. 2 lit. a IVV analog auf den vorliegenden Fall anzuwenden.</w:t>
      </w:r>
    </w:p>
    <w:p>
      <w:r>
        <w:rPr>
          <w:b/>
        </w:rPr>
        <w:t>E. 3</w:t>
      </w:r>
    </w:p>
    <w:p>
      <w:r>
        <w:t>Eine Anordnung im kantonalen Entscheid kann nur dann einen Nachteil für die Verwaltung bewirken, wenn sie für die erstinstanzliche Behörde verbindlich ist. Unnötige rechtliche Ausführungen in einem Entscheid, sog. "obiter dicta", entfalten für die Vorinstanz keine bindende Wirkung (Urteil 4A_205/2009 vom 12. Oktober 2009; vgl. zur fehlenden präjudiziellen Wirkung von "obiter dicta" auch Emmenegger/ Tschentscher, Berner Kommentar, 2012, N. 486 zu Art. 1 ZGB und Andreas Traub, Bemerkungen zum Obiter dictum in der verwaltungsgerichtlichen Urteilsbegründung, in: Information und Recht, 2002, S. 303 ff., S. 310). Im vorliegenden Fall können die Erwägungen des kantonalen Gerichts, wonach die Wiedererwägungsvoraussetzungen gegeben und Art. 88bis Abs. 2 lit. a IVV analog anzuwenden ist, zudem bereits aus dem Grunde nicht verbindlich sein, als das kantonale Gericht die Sache zum Durchführen des Vorbescheidverfahrens zurückgewiesen hat. Wie dieses Gericht zutreffend ausgeführt hat, handelt es sich beim Vorbescheidverfahren um eine spezialgesetzliche Verfahrensregelung zur Gewährung des rechtlichen Gehörs. Eine Rückweisung zur Gewährung des rechtlichen Gehörs macht aber zum Vorneherein nur dann Sinn, wenn das Ergebnis des Verfahrens noch offen ist. Wären die umstrittenen Anordnungen für die IV-Stelle verbindlich, so wäre das Ergebnis des Verfahrens nicht länger offen. Insofern ist der kantonale Entscheid, die Sache zur Durchführung des Vorbescheidverfahrens zurückzuweisen und gleichzeitig materielle Anordnungen zu treffen, in sich widersprüchlich. In sich widersprüchliche oder unsinnige Anordnungen können aber für die unteren Instanzen nicht verbindlich sein (vgl. auch Urteil 8C_154/2010 vom 16. August 2010 E. 7.1).</w:t>
      </w:r>
    </w:p>
    <w:p>
      <w:r>
        <w:rPr>
          <w:b/>
        </w:rPr>
        <w:t>E. 4</w:t>
      </w:r>
    </w:p>
    <w:p>
      <w:r>
        <w:t>Entfalten somit die Erwägungen des kantonalen Gerichts, wonach die Wiedererwägungsvoraussetzungen gegeben und Art. 88bis Abs. 2 lit. a IVV analog anzuwenden ist, für die IV-Stelle keine bindende Wirkung, so droht der Verwaltung durch den angefochtenen Entscheid kein nicht wieder gutzumachender Nachteil. Somit ist die Eintretensvoraussetzung gemäss Art. 93 Abs. 1 lit. a BGG nicht erfüllt. Da eine Gutheissung der Beschwerde keinen sofortigen Endentscheid herbeiführen würde, ist auch die Eintretensalternative von Art. 93 Abs. 1 lit. b BGG nicht gegeben. Auf die Beschwerde der IV-Stelle gegen den kantonalen Entscheid vom 26. Juni 2012 ist somit nicht einzutreten.</w:t>
      </w:r>
    </w:p>
    <w:p>
      <w:r>
        <w:rPr>
          <w:b/>
        </w:rPr>
        <w:t>E. 5</w:t>
      </w:r>
    </w:p>
    <w:p>
      <w:r>
        <w:t>Dem Prozessausgang entsprechend sind die Gerichtskosten der unterliegenden IV-Stelle aufzuerlegen ( Art. 66 Abs. 1 BGG ). Diese hat dem Beschwerdegegner überdies eine Parteientschädigung zu bezahlen ( Art. 68 Abs. 1 und 2 BGG ; vgl. auch BGE 135 V 473 ).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