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8C_608/2024 vom 30. April 2025</w:t>
      </w:r>
    </w:p>
    <w:p>
      <w:r>
        <w:t>Bundesgericht, 2025-04-30, DE</w:t>
      </w:r>
    </w:p>
    <w:p>
      <w:r>
        <w:rPr>
          <w:b/>
        </w:rPr>
        <w:t xml:space="preserve">Quelle: </w:t>
      </w:r>
      <w:r>
        <w:t>https://mcp.opencaselaw.ch/entscheid/bger_8C_608_2024</w:t>
      </w:r>
    </w:p>
    <w:p>
      <w:r>
        <w:t>FR: TF 8C_608/2024 du 30 avril 2025</w:t>
      </w:r>
    </w:p>
    <w:p>
      <w:r>
        <w:t>IT: TF 8C_608/2024 del 30 aprile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147 I 73 E. 2 mit Hinweisen).</w:t>
      </w:r>
    </w:p>
    <w:p>
      <w:r>
        <w:rPr>
          <w:b/>
        </w:rPr>
        <w:t>E. 2</w:t>
      </w:r>
    </w:p>
    <w:p>
      <w:r>
        <w:t>Streitig und zu prüfen ist, ob die Vorinstanz Bundesrecht verletzte, indem sie in Bestätigung der Verfügung der IV-Stelle einen Anspruch auf eine Invalidenrente verneinte.</w:t>
      </w:r>
    </w:p>
    <w:p>
      <w:r>
        <w:rPr>
          <w:b/>
        </w:rPr>
        <w:t>E. 3.1</w:t>
      </w:r>
    </w:p>
    <w:p>
      <w:r>
        <w:t>Am 1. Januar 2022 traten im Zuge der Weiterentwicklung der IV revidierte Bestimmungen im IVG (SR 831.20) sowie im ATSG (SR 830.1) samt entsprechendem Verordnungsrecht in Kraft (Weiterentwicklung der IV [WEIV]; Änderung vom 19. Juni 2020, AS 2021 705, BBl 2017 2535). 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144 V 210 E. 4.3.1; 138 V 176 E. 7.1; 137 V 105 E. 5.3.1; 132 V 215 E. 3.1.1).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 BGE 150 V 323 E. 4.2 mit weiteren Hinweisen).</w:t>
      </w:r>
    </w:p>
    <w:p>
      <w:r>
        <w:rPr>
          <w:b/>
        </w:rPr>
        <w:t>E. 3.2</w:t>
      </w:r>
    </w:p>
    <w:p>
      <w:r>
        <w:t>Das kantonale Gericht hat die massgebenden Rechtsgrundlagen zutreffend dargelegt. Darauf wird verwiesen ( Art. 109 Abs. 3 BGG ).</w:t>
      </w:r>
    </w:p>
    <w:p>
      <w:r>
        <w:rPr>
          <w:b/>
        </w:rPr>
        <w:t>E. 4.1</w:t>
      </w:r>
    </w:p>
    <w:p>
      <w:r>
        <w:t>Mit in allen Teilen überzeugender Begründung, worauf wiederum verwiesen wird ( Art. 109 Abs. 3 BGG ), verneinte die Vorinstanz gestützt auf das Gutachten vom 8. September 2023 einen Anspruch auf eine Invalidenrente. Sie schloss darauf, dass die Beschwerdeführerin im Haushaltsbereich nicht eingeschränkt und in ihrer angestammten Tätigkeit seit Ende 2019 70 % arbeitsfähig sei, weshalb das nach Art. 28 Abs. 1 lit. b IVG für die Bejahung eines Rentenanspruchs bestehende Erfordernis einer ohne wesentlichen Unterbruch durchschnittlich mindestens 40%igen Arbeitsunfähigkeit während eines Jahres nicht erfüllt sei.</w:t>
      </w:r>
    </w:p>
    <w:p>
      <w:r>
        <w:rPr>
          <w:b/>
        </w:rPr>
        <w:t>E. 4.2</w:t>
      </w:r>
    </w:p>
    <w:p>
      <w:r>
        <w:t>Was die Beschwerdeführerin gegen die Zuverlässigkeit des Gutachtens vom 8. September 2023 vorbringt, ist offensichtlich unbegründet. Aus ihren Ausführungen ergibt sich nichts Stichhaltiges, was Zweifel an der vorinstanzlichen Beweiswürdigung erwecken könnte. Im Übrigen wiederholt sie auf weiten Strecken die vorinstanzlich entkräfteten Rügen, ohne sich mit der Begründung im angefochtenen Urteil auseinanderzusetzen. Insoweit kann ohne Weiterungen auf die Erwägungen der Vorinstanz verwiesen werden. Diese hat im Rahmen einer eingehenden Auseinandersetzung mit den medizinischen Akten und den Einwendungen der Beschwerdeführerin dem Gutachten bundesrechtskonform volle Beweiskraft zuerkannt. Vor diesem Hintergrund ist entgegen der Beschwerdeführerin auch nicht zu beanstanden, dass die Vorinstanz - in antizipierender Beweiswürdigung ( BGE 144 V 361 E. 6.5 ; 136 I 229 E. 5.3) - von zusätzlichen Abklärungen abgesehen hat. Zusammenfassend lassen die Vorbringen der Beschwerdeführerin weder die vorinstanzlichen Sachverhaltsfeststellungen als offensichtlich unrichtig, als Ergebnis willkürlicher Beweiswürdigung oder als rechtsfehlerhaft nach Art. 95 BGG erscheinen, noch zeigen sie sonstwie eine Bundesrechtsverletzung auf.</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Urteil ( Art. 109 Abs. 3 BGG ) erledigt wird.</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