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608/2021 vom 26. April 2022</w:t>
      </w:r>
    </w:p>
    <w:p>
      <w:r>
        <w:t>Bundesgericht, 2022-04-26, FR</w:t>
      </w:r>
    </w:p>
    <w:p>
      <w:r>
        <w:rPr>
          <w:b/>
        </w:rPr>
        <w:t xml:space="preserve">Quelle: </w:t>
      </w:r>
      <w:r>
        <w:t>https://mcp.opencaselaw.ch/entscheid/bger_8C_608_2021</w:t>
      </w:r>
    </w:p>
    <w:p>
      <w:r>
        <w:t>FR: TF 8C 608/2021 du 26 avril 2022</w:t>
      </w:r>
    </w:p>
    <w:p>
      <w:r>
        <w:t>IT: TF 8C 608/2021 del 26 aprile 2022</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d'allouer une rente d'invalidité. Au vu de la motivation du recours et des conclusions prises, est uniquement litigieux l'abattement à prendre en considération pour fixer le revenu hypothétique d'invalide.</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3.1</w:t>
      </w:r>
    </w:p>
    <w:p>
      <w:r>
        <w:t>Selon l' art. 6 al. 1 LAA , les prestations d'assurance sont allouées en cas d'accident professionnel, d'accident non professionnel et de maladie professionnelle. Si l'assuré est invalide ( art. 8 LPGA ) à 10 % au moins ensuite d'un accident, il a droit à une rente d'accident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marche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Aux fins de déterminer le revenu d'invalide, les salaires fixés sur la base des données statistiques de l'ESS peuvent à certaines conditions faire l'objet d'un abattement de 25 % au plus (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 ATF 146 V 16 consid. 4.1; 126 V 75 consid. 5b/aa).</w:t>
      </w:r>
    </w:p>
    <w:p>
      <w:r>
        <w:rPr>
          <w:b/>
        </w:rPr>
        <w:t>E. 3.3</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arrêts 8C_766/2017 du 30 juillet 2018 consid. 8.3.1; 8C_227/2017 du 17 mai 2018 consid. 3.1).</w:t>
      </w:r>
    </w:p>
    <w:p>
      <w:r>
        <w:rPr>
          <w:b/>
        </w:rPr>
        <w:t>E. 3.4</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en a abusé ("Ermessensmissbrauch"), notamment en retenant des critères inappropriés, en ne tenant pas compte de circonstances pertinentes, en ne procédant pas à un examen complet des circonstances pertinentes ou en n'usant pas de critères objectifs ( ATF 137 V 71 consid. 5.1).</w:t>
      </w:r>
    </w:p>
    <w:p>
      <w:r>
        <w:rPr>
          <w:b/>
        </w:rPr>
        <w:t>E. 4.1</w:t>
      </w:r>
    </w:p>
    <w:p>
      <w:r>
        <w:t>Pour déterminer le revenu d'invalide, les premiers juges se sont référés - à l'instar de l'intimée - aux données statistiques de l'ESS 2016, en prenant pour base le salaire versé à une femme dans le secteur privé, avec un niveau de compétence 1, correspondant à des tâches physiques ou manuelles simples et ne nécessitant aucune formation particulière. Après un abattement de 5 %, tel qu'opéré par l'intimée pour tenir compte des limitations fonctionnelles auxquelles la recourante était confrontée, il résultait un revenu d'invalide de 52'581 fr. Les juges cantonaux ont considéré que les autres facteurs invoqués par la recourante - notamment son âge, les difficultés en français et l'absence de formation - n'étaient pas pertinents et ne justifiaient pas un abattement supérieur à celui opéré par l'intimée.</w:t>
      </w:r>
    </w:p>
    <w:p>
      <w:r>
        <w:rPr>
          <w:b/>
        </w:rPr>
        <w:t>E. 4.2</w:t>
      </w:r>
    </w:p>
    <w:p>
      <w:r>
        <w:t>La recourante conteste uniquement le taux d'abattement opéré sur le salaire statistique. Elle soutient que la cour cantonale aurait commis un excès négatif de son pouvoir d'appréciation en se bornant à examiner, de manière distincte, certains des facteurs entrant en considération, au lieu de procéder à une analyse globale de sa situation personnelle et professionnelle. Ainsi, le taux de 5 % ne tiendrait pas compte de l'interdépendance des facteurs personnels et professionnels qui contribueraient à la désavantager sur le marché du travail. Au regard de la jurisprudence du Tribunal fédéral dans des cas similaires, l'abattement aurait dû être à tout le moins de 15 %.</w:t>
      </w:r>
    </w:p>
    <w:p>
      <w:r>
        <w:rPr>
          <w:b/>
        </w:rPr>
        <w:t>E. 4.3.1</w:t>
      </w:r>
    </w:p>
    <w:p>
      <w:r>
        <w:t>Une réduction au titre du handicap dépend de la nature des limitations fonctionnelles présentées et n'entre en considération que si, sur un marché du travail équilibré, il n'y a plus un éventail suffisamment large d'activités accessibles à l'assuré (cf. arrêts 8C_659/2021 du 17 février 2022 consid. 4.3.1; 8C_118/2021 du 21 décembre 2021 consid. 6.3.1). En l'espèce, la cour cantonale a décrit les limitations fonctionnelles de la recourante comme suit dans les considérants de son arrêt: un port de charges ponctuel limité à 3 kg du côté droit, sans mouvement de rotation répété de l'épaule, pas de travail s'effectuant au-dessus du plan de l'épaule ni monter sur une échelle. Cette description apparaît toutefois erronée dans la mesure où il ressort de l'état de fait de l'arrêt attaqué, qui se réfère aux rapports de la CRR et du médecin d'arrondissement, qu'une activité adaptée ne doit pas comprendre le port répété de charges supérieures à 5-10 kg, ni les activités nécessitant le maintien du membre supérieur droit au-dessus du niveau des épaules, et qu'elle doit privilégier les activités coude au corps. Au vu de cette délimitation moins restrictive des activités accessibles à la recourante, il apparaît d'autant moins critiquable de considérer, comme l'ont fait les premiers juges, que les seules limitations fonctionnelles ne restreignent pas de manière significative les activités légères, raisonnablement exigibles de la recourante, en tout cas pas dans une mesure qui justifierait un abattement supérieur à 5 %.</w:t>
      </w:r>
    </w:p>
    <w:p>
      <w:r>
        <w:rPr>
          <w:b/>
        </w:rPr>
        <w:t>E. 4.3.2</w:t>
      </w:r>
    </w:p>
    <w:p>
      <w:r>
        <w:t>Par rapport au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 art. 28 al. 4 OLAA (cf. arrêts 8C_659/2021 du 17 février 2022 consid. 4.3.2: 8C_597/2020 du 16 juin 2021 consid. 5.2.5 et la référence citée). Cette question peut encore demeurer indécise, dès lors que la recourante n'a pas exposé - et on ne voit pas - en quoi ses perspectives salariales seraient concrètement réduites sur un marché du travail équilibré à raison de son âge. En outre, étant âgée de 58 ans au moment tant de la naissance d'un éventuel droit à la rente que de la décision sur opposition, la recourante n'avait pas encore atteint l'âge à partir duquel le Tribunal fédéral reconnaît généralement que ce facteur peut être déterminant et nécessite une approche particulière (arrêts 9C_486/2013 du 2 décembre 2013 consid. 3.2.2, non publié in ATF 139 V 600 ; 8C_175/2020 du 22 septembre 2020 consid. 4.2). Comme les activités adaptées envisagées du niveau de compétence 1 ne requièrent ni formation, ni expérience professionnelle spécifique, les effets pénalisants au niveau salarial induits par l'âge ne peuvent pas être considérés comme suffisamment établis. En outre, il faut rappeler que ces emplois non qualifiés sont, en règle générale, disponibles indépendamment de l'âge de l'intéressé sur un marché du travail équilibré (cf. ATF 146 V 16 consid. 7.2.1; arrêts 8C_661/2018 du 28 octobre 2019 consid. 3.3.4.2; 8C_103/2018 du 25 juillet 2018 consid. 5.2).</w:t>
      </w:r>
    </w:p>
    <w:p>
      <w:r>
        <w:rPr>
          <w:b/>
        </w:rPr>
        <w:t>E. 4.3.3</w:t>
      </w:r>
    </w:p>
    <w:p>
      <w:r>
        <w:t>La recourante soutient que son âge se situerait bien au-delà de la cinquantaine et ne serait compensé par aucun élément d'ordre professionnel ou personnel. Ainsi, elle ne disposerait d'aucune formation, son expérience professionnelle se limiterait à un travail d'aide-cuisinière pendant onze ans, sans expérience dans un autre domaine, et elle aurait été absente du marché du travail depuis 2013. Or l'absence de formation et d'expérience ne joue en règle générale pas de rôle lorsque le revenu d'invalide est déterminé en référence au salaire statistique auquel peuvent prétendre les femmes effectuant des activités simples et répétitives du niveau de compétence 1, comme c'est le cas en l'espèce. En effet, ce niveau de compétence de l'ESS concerne une catégorie d'emplois ne nécessitant ni formation ni expérience professionnelle spécifique (cf. arrêts 8C_118/2021 du 21 décembre 2021 consid. 6.3.2; 8C_175/2020 du 22 septembre 2020 consid.4.2). Quant à la durée de l'absence au marché du travail, elle ne constitue pas non plus une circonstance déterminante pour un abattement dans le contexte d'une activité adaptée relevant de tâches manuelles simples (cf. arrêt 9C_17/2018 du 17 avril 2018 consid. 4.3 et les références).</w:t>
      </w:r>
    </w:p>
    <w:p>
      <w:r>
        <w:rPr>
          <w:b/>
        </w:rPr>
        <w:t>E. 4.3.4</w:t>
      </w:r>
    </w:p>
    <w:p>
      <w:r>
        <w:t>Finalement, la recourante, qui est de langue maternelle turque, invoque ses difficultés en français, lesquelles nécessiteraient l'intervention d'un interprète pour les rendez-vous médicaux. Les médecins de la CRR auraient également retenu que le pronostic de réinsertion dans une activité adaptée était défavorable, notamment en raison des problèmes de langue. Toutefois, il ressort des constatations de la cour cantonale que la recourante vit en Suisse depuis une trentaine d'années et qu'elle parle certes peu le français, mais le comprend assez bien. Par ailleurs, le niveau de compétence 1 déterminant en l'espèce ne nécessite pas, selon la jurisprudence constante, une bonne maîtrise d'une langue nationale (cf. par exemple arrêts 8C_64/2021 du 14 avril 2021 consid. 6.3; 9C_115/2018 du 5 juillet 2018 consid. 5.2 et les références).</w:t>
      </w:r>
    </w:p>
    <w:p>
      <w:r>
        <w:rPr>
          <w:b/>
        </w:rPr>
        <w:t>E. 4.4</w:t>
      </w:r>
    </w:p>
    <w:p>
      <w:r>
        <w:t>Eu égard de l'ensemble de ces circonstances, la juridiction cantonale n'a pas excédé son pouvoir d'appréciation en confirmant le taux d'abattement de 5 % appliqué par l'intimée. Par conséquent, le recours s'avère mal fondé et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