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8C_607/2019 vom 8. November 2019</w:t>
      </w:r>
    </w:p>
    <w:p>
      <w:r>
        <w:t>Bundesgericht, 2019-11-08, DE</w:t>
      </w:r>
    </w:p>
    <w:p>
      <w:r>
        <w:rPr>
          <w:b/>
        </w:rPr>
        <w:t xml:space="preserve">Quelle: </w:t>
      </w:r>
      <w:r>
        <w:t>https://mcp.opencaselaw.ch/entscheid/bger_8C_607_2019</w:t>
      </w:r>
    </w:p>
    <w:p>
      <w:r>
        <w:t>FR: TF 8C_607/2019 du 8 novembre 2019</w:t>
      </w:r>
    </w:p>
    <w:p>
      <w:r>
        <w:t>IT: TF 8C_607/2019 del 8 novembre 2019</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wenn die Behebung des Mangels für den Ausgang des Verfahrens entscheidend sein kann ( Art. 105 Abs. 2 BGG und Art. 97 Abs. 1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w:t>
      </w:r>
    </w:p>
    <w:p>
      <w:r>
        <w:t>Zu prüfen ist, ob die Vorinstanz Bundesrecht verletzt hat, indem sie den Rentenbeginn auf den 1. Februar 2014 festsetzte. Der Anspruch auf eine Viertelsrente wird hingegen von der IV-Stelle nicht in Frage gestellt.</w:t>
      </w:r>
    </w:p>
    <w:p>
      <w:r>
        <w:rPr>
          <w:b/>
        </w:rPr>
        <w:t>E. 3.1.1</w:t>
      </w:r>
    </w:p>
    <w:p>
      <w:r>
        <w:t>Gemäss Art. 28 Abs. 1 lit. b IVG haben Versicherte Anspruch auf eine Rente, die unter anderem während eines Jahres ohne wesentlichen Unterbruch durchschnittlich mindestens 40 % arbeitsunfähig ( Art. 6 ATSG ) gewesen sind. Wurde die Rente nach Verminderung des Invaliditätsgrades aufgehoben, erreicht dieser jedoch in den folgenden drei Jahren wegen einer auf dasselbe Leiden zurückzuführenden Arbeitsunfähigkeit erneut ein rentenbegründendes Ausmass, so werden bei der Berechnung der Wartezeit nach Art. 28 Abs. 1 lit. b IVG früher zurückgelegte Zeiten angerechnet ( Art. 29 bis IVV ).</w:t>
      </w:r>
    </w:p>
    <w:p>
      <w:r>
        <w:rPr>
          <w:b/>
        </w:rPr>
        <w:t>E. 3.1.2</w:t>
      </w:r>
    </w:p>
    <w:p>
      <w:r>
        <w:t>Art. 29 Abs. 1 IVG sieht vor, dass der Rentenanspruch frühestens nach Ablauf von sechs Monaten nach Geltendmachung des Leistungsanspruchs nach Art. 29 Abs. 1 ATSG , jedoch frühestens im Monat, der auf die Vollendung des 18. Altersjahres folgt, entsteht.</w:t>
      </w:r>
    </w:p>
    <w:p>
      <w:r>
        <w:rPr>
          <w:b/>
        </w:rPr>
        <w:t>E. 3.1.3</w:t>
      </w:r>
    </w:p>
    <w:p>
      <w:r>
        <w:t>Die Wartezeiten von Art. 28 Abs. 1 lit. b und Art. 29 Abs. 1 IVG haben völlig unterschiedliche Funktionen - als materielle Anspruchsvoraussetzung (ein Jahr dauernde Arbeitsunfähigkeit) und als formelle Karenzfrist, die mit Blick auf den frühest möglichen Rentenbeginn einzuhalten ist. Es besteht daher kein Grund, Art. 29bis IVV , der das Wiederaufleben der Invalidität nach Aufhebung einer Rente zufolge Verminderung des Invaliditätsgrades regelt und laut welchem bei der Berechnung der Wartezeit nach Art. 28 Abs. 1 lit. b IVG früher zurückgelegte Zeiten angerechnet werden, auch auf die Festlegung der in der Bestimmung nicht erwähnten sechsmonatigen Karenzzeit nach Art. 29 Abs. 1 IVG anzuwenden ( BGE 142 V 547 E. 3.2 S. 550 f.).</w:t>
      </w:r>
    </w:p>
    <w:p>
      <w:r>
        <w:rPr>
          <w:b/>
        </w:rPr>
        <w:t>E. 3.2</w:t>
      </w:r>
    </w:p>
    <w:p>
      <w:r>
        <w:t>Im vorliegenden Fall ist unbestritten, dass die aktuell rentenbegründende Invalidität auf dasselbe Leiden zurückzuführen ist, welches zur ursprünglichen Rentenzusprache geführt hatte. Deshalb wird im Rahmen der innert dreier Jahre nach Einstellung der Invalidenrente erfolgten Neuanmeldung zum Leistungsbezug die früher zurückgelegte Wartezeit gemäss Art. 28 Abs. 1 lit. b IVG im Sinne von Art. 29bis IVV angerechnet und ist nicht neu zu bestehen. Davon geht implizit auch das kantonale Gericht aus.</w:t>
      </w:r>
    </w:p>
    <w:p>
      <w:r>
        <w:t>Wie die Beschwerdeführerin unter Hinweis auf die Rechtsprechung ( BGE 142 V 547 E. 3.2 S. 550) zutreffend darlegt, ändert dies aber nichts daran, dass die Rente erst nach Ablauf der formellen sechsmonatigen Karenzfrist gemäss Art. 29 Abs. 1 ATSG beginnen kann. Entgegen der Ansicht der Vorinstanz handelt es sich hier nicht um einen Revisionstatbestand, bei welchem eine laufende Rente erhöht wird. Der Rentenbeginn ist daher - gemäss letztinstanzlich übereinstimmenden Anträgen von IV-Stelle und Versichertem - auf den 1. August 2014 festzusetzen.</w:t>
      </w:r>
    </w:p>
    <w:p>
      <w:r>
        <w:rPr>
          <w:b/>
        </w:rPr>
        <w:t>E. 4</w:t>
      </w:r>
    </w:p>
    <w:p>
      <w:r>
        <w:t>Die Beschwerde ist offensichtlich begründet, weshalb sie im vereinfachten Verfahren nach Art. 109 Abs. 2 lit. b BGG erledigt wird.</w:t>
      </w:r>
    </w:p>
    <w:p>
      <w:r>
        <w:rPr>
          <w:b/>
        </w:rPr>
        <w:t>E. 5</w:t>
      </w:r>
    </w:p>
    <w:p>
      <w:r>
        <w:t>Das Gesuch um aufschiebende Wirkung der Beschwerde wird mit dem heutigen Urteil gegenstandslos.</w:t>
      </w:r>
    </w:p>
    <w:p>
      <w:r>
        <w:rPr>
          <w:b/>
        </w:rPr>
        <w:t>E. 6</w:t>
      </w:r>
    </w:p>
    <w:p>
      <w:r>
        <w:t>Aufgrund der konkreten Umstände wird ausnahmsweise auf die Erhebung von Gerichtskosten verzichtet ( Art. 66 Abs. 1 Satz 2 BGG ).</w:t>
      </w:r>
    </w:p>
    <w:p>
      <w:r>
        <w:t>Von einer Rückweisung an das kantonale Gericht zur Neuverlegung der Kosten im vorangegangenen Verfahren kann abgesehen werden, da es für die versicherte Person in Bezug auf den vorinstanzlichen Prozess - auch nach Korrektur des Rentenbeginns durch das Bundesgericht - bei einem Obsiegen bleibt (Zusprache einer unbefristeten Viertelsrente).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