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8C_606/2019 vom 5. Dezember 2019</w:t>
      </w:r>
    </w:p>
    <w:p>
      <w:r>
        <w:t>Bundesgericht, 2019-12-05, DE</w:t>
      </w:r>
    </w:p>
    <w:p>
      <w:r>
        <w:rPr>
          <w:b/>
        </w:rPr>
        <w:t xml:space="preserve">Quelle: </w:t>
      </w:r>
      <w:r>
        <w:t>https://mcp.opencaselaw.ch/entscheid/bger_8C_606_2019</w:t>
      </w:r>
    </w:p>
    <w:p>
      <w:r>
        <w:t>FR: TF 8C_606/2019 du 5 décembre 2019</w:t>
      </w:r>
    </w:p>
    <w:p>
      <w:r>
        <w:t>IT: TF 8C_606/2019 del 5 dicembre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w:t>
      </w:r>
    </w:p>
    <w:p>
      <w:r>
        <w:t>Strittig ist, ob die Vorinstanz Bundesrecht verletzte, indem sie mit angefochtenem Entscheid die Verfügung vom 2. Juli 2018 bestätigte, womit die IV-Stelle auf das Neuanmeldungsgesuch vom 17. November 2017 nicht eintrat.</w:t>
      </w:r>
    </w:p>
    <w:p>
      <w:r>
        <w:rPr>
          <w:b/>
        </w:rPr>
        <w:t>E. 3.1</w:t>
      </w:r>
    </w:p>
    <w:p>
      <w:r>
        <w:t>Das kantonale Gericht hat die gesetzlichen Grundlagen ( Art. 87 Abs. 2 und 3 IVV ) und die Grundsätze ( BGE 130 V 64 E. 5.2.5 S. 68 f.; 109 V 108 E. 2b S. 114; 262 E. 3 S. 264; Urteil 8C_315/2016 vom 20. Juni 2016 E. 2.1 mit Hinweisen) für das Eintreten auf eine Neuanmeldung nach vorangegangener rechtskräftiger Rentenaufhebung zutreffend dargelegt. Darauf wird verwiesen.</w:t>
      </w:r>
    </w:p>
    <w:p>
      <w:r>
        <w:rPr>
          <w:b/>
        </w:rPr>
        <w:t>E. 3.2</w:t>
      </w:r>
    </w:p>
    <w:p>
      <w:r>
        <w:t>Eine Neuanmeldung nach Rentenaufhebung wird nur geprüft, wenn die gesuchstellende Person glaubhaft macht, dass sich der Grad der Invalidität in einer für den Anspruch erheblichen Weise geändert hat ( Art. 87 Abs. 2 und 3 IVV ).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 Dagegen stellt eine bloss abweichende Beurteilung eines im Wesentlichen gleich gebliebenen Sachverhalts keine relevante Änderung dar (Urteil 8C_207/2019 vom 3. Juli 2019 E. 3.1 mit Hinweis).</w:t>
      </w:r>
    </w:p>
    <w:p>
      <w:r>
        <w:rPr>
          <w:b/>
        </w:rPr>
        <w:t>E. 3.3</w:t>
      </w:r>
    </w:p>
    <w:p>
      <w:r>
        <w:t>Im Verfahren der Neuanmeldung nach Art. 87 Abs. 2 und 3 IVV spielt der Untersuchungsgrundsatz ( Art. 43 Abs. 1 ATSG i.V.m. Art. 1 Abs. 1 IVG und Art. 2 ATSG ) insoweit nicht, als die versicherte Person in Bezug auf das Vorliegen einer glaubhaften Änderung der tatsächlichen Verhältnisse seit der letzten rechtskräftigen Leistungsverweigerung eine Beweisführungslast trifft (SVR 2016 IV Nr. 57 S. 188, 9C_367/2016 E. 2.3).</w:t>
      </w:r>
    </w:p>
    <w:p>
      <w:r>
        <w:rPr>
          <w:b/>
        </w:rPr>
        <w:t>E. 4.1</w:t>
      </w:r>
    </w:p>
    <w:p>
      <w:r>
        <w:t>Das kantonale Gericht hat nach eingehender Beweiswürdigung mit in allen Teilen überzeugender Begründung, worauf verwiesen wird ( Art. 109 Abs. 3 BGG ), zutreffend erkannt, dass die Versicherte im unbestritten massgebenden Vergleichszeitraum zwischen der am 24. November 2015 verfügten Rentenaufhebung und dem Erlass der hier strittigen Nichteintretensverfügung vom 2. Juli 2018 keine anspruchserhebliche Änderung der tatsächlichen Verhältnisse glaubhaft zu machen vermochte.</w:t>
      </w:r>
    </w:p>
    <w:p>
      <w:r>
        <w:rPr>
          <w:b/>
        </w:rPr>
        <w:t>E. 4.2</w:t>
      </w:r>
    </w:p>
    <w:p>
      <w:r>
        <w:t>Was die Beschwerdeführerin hiegegen vorbringt, ist offensichtlich unbegründet.</w:t>
      </w:r>
    </w:p>
    <w:p>
      <w:r>
        <w:rPr>
          <w:b/>
        </w:rPr>
        <w:t>E. 4.2.1</w:t>
      </w:r>
    </w:p>
    <w:p>
      <w:r>
        <w:t>Soweit sie vor Bundesgericht erstmals neu geltend macht, infolge der Outlet Obstruction könne sie seit der erfolglosen Behandlung der chronischen Obstipation im Jahre 2017 den Stuhlgang "nur noch mit digitalem Ausräumen" auslösen, weshalb sie nur noch ein reduziertes Arbeitspensum zu verrichten vermöge, handelt es sich um unzulässige neue Tatsachenvorbringen (E. 1.2 i.f.; vgl. BGE 143 V 19 E. 1.2 S. 22 f.).</w:t>
      </w:r>
    </w:p>
    <w:p>
      <w:r>
        <w:rPr>
          <w:b/>
        </w:rPr>
        <w:t>E. 4.2.2</w:t>
      </w:r>
    </w:p>
    <w:p>
      <w:r>
        <w:t>Weiter wendet die Versicherte ein, die Vorinstanz hätte auch die erstmals im kantonalen Verfahren eingereichten medizinischen Berichte des Dr. med. C.________ vom 10. Juli 2018 und des Dr. med. D.________ zur Ganzkörperskelettszintigraphie vom 18. Juli 2018 mitberücksichtigen müssen.</w:t>
      </w:r>
    </w:p>
    <w:p>
      <w:r>
        <w:t>Es versteht sich jedoch von selbst, dass Aktenstücke, die erst nach Erlass der Eintretensverfügung entstanden sind, nicht dazu beitragen können, einen bestimmten Sachverhalt im Zeitpunkt des Entscheides über das Eintreten auf eine Neuanmeldung glaubhafter zu machen. Für die beschwerdeweise Überprüfung einer Nichteintretensverfügung ist somit der Sachverhalt, wie er sich der Verwaltung bot, resp. die Aktenlage bei Erlass dieser Verfügung massgeblich ( BGE 130 V 64 E. 5.2.5 S. 68 f.; Urteil 8C_315/2016 vom 20. Juni 2016 E. 4.3 mit Hinweis; vgl. dazu auch BGE 121 V 362 E. 1b S. 366 mit Hinweisen).</w:t>
      </w:r>
    </w:p>
    <w:p>
      <w:r>
        <w:rPr>
          <w:b/>
        </w:rPr>
        <w:t>E. 4.2.3</w:t>
      </w:r>
    </w:p>
    <w:p>
      <w:r>
        <w:t>Schliesslich legt die Beschwerdeführerin nicht dar und ist nicht ersichtlich, inwiefern die tatsächlichen Feststellungen gemäss angefochtenem Entscheid zur Entwicklung des Gesundheitszustandes und der Arbeitsfähigkeit innerhalb des Vergleichszeitraumes offensichtlich unrichtig oder sonstwie bundesrechtswidrig sein sollten. Die Diagnosen des seit 2010 behandelnden Psychiaters Dr. med. E.________ blieben seit Sommer 2015 ebenso unverändert wie deren Auswirkungen auf die Arbeitsfähigkeit. Mit Blick auf die wenigen neuen somatischen Verdachtsdiagnosen, welche der schmerztherapeutisch behandelnde Dr. med. F.________ gemäss Bericht vom 8. Januar 2018 stellte, schloss das kantonale Gericht nachvollziehbar und überzeugend darauf, dass diese geringfügigen Abweichungen im Vergleich zum bestätigten Gesamtumfang der bekannten organischen Gesundheitsstörungen von untergeordneter Bedeutung seien. Obwohl Dr. med. F.________ das chronische ISG-Schmerzsyndrom unklarer Ätiologie im Rahmen eines möglichen Panvertebralsyndroms oder femoro-acetabulären Impingements einordnete, wies er ausdrücklich darauf hin, dass der Hüftspezialist diesbezüglich keine Indikation zur Operation sehe. Jedenfalls liessen die neuen Hinweise nicht auf eine in somatischer Hinsicht anspruchserhebliche Veränderung des Gesundheitszustandes schliessen.</w:t>
      </w:r>
    </w:p>
    <w:p>
      <w:r>
        <w:rPr>
          <w:b/>
        </w:rPr>
        <w:t>E. 4.3</w:t>
      </w:r>
    </w:p>
    <w:p>
      <w:r>
        <w:t>Die Versicherte vermag zusammenfassend nicht darzulegen, inwiefern die vorinstanzliche Beweiswürdigung und Sachverhaltsfeststellung im Sinne von Art. 97 Abs. 1 BGG auf einer Rechtsverletzung beruhen oder qualifiziert unzutreffend (unhaltbar, willkürlich: BGE 135 II 145 E. 8.1 S. 153; Urteil 8C_836/2018 vom 18. März 2019 E. 4.2) oder die darauf beruhenden Erwägungen in Bezug auf die Vergleichszeitpunkte vom 24. November 2015 und 2. Juli 2018 rechtsfehlerhaft (vgl. Art. 95 BGG ) sein sollen. Hat das kantonale Gericht rechtsfehlerfrei die Glaubhaftmachung einer anspruchserheblichen gesundheitlichen Veränderung verneint, ist die Nichteintretensverfügung der IV-Stelle vom 2. Juli 2018 nicht als bundesrechtswidrig zu beanstanden.</w:t>
      </w:r>
    </w:p>
    <w:p>
      <w:r>
        <w:rPr>
          <w:b/>
        </w:rPr>
        <w:t>E. 5</w:t>
      </w:r>
    </w:p>
    <w:p>
      <w:r>
        <w:t>Da die Beschwerde offensichtlich unbegründet ist, wird sie im Verfahren nach Art. 109 Abs. 2 lit. a BGG mit summarischer Begründung und unter Hinweis auf den kantonalen Gerichtsentscheid (Abs. 3) erledigt.</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