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8C_605/2024 vom 27. November 2024</w:t>
      </w:r>
    </w:p>
    <w:p>
      <w:r>
        <w:t>Bundesgericht, 2024-11-27, DE</w:t>
      </w:r>
    </w:p>
    <w:p>
      <w:r>
        <w:rPr>
          <w:b/>
        </w:rPr>
        <w:t xml:space="preserve">Quelle: </w:t>
      </w:r>
      <w:r>
        <w:t>https://mcp.opencaselaw.ch/entscheid/bger_8C_605_2024</w:t>
      </w:r>
    </w:p>
    <w:p>
      <w:r>
        <w:t>FR: TF 8C_605/2024 du 27 novembre 2024</w:t>
      </w:r>
    </w:p>
    <w:p>
      <w:r>
        <w:t>IT: TF 8C_605/2024 del 27 novembre 2024</w:t>
      </w:r>
    </w:p>
    <w:p>
      <w:pPr>
        <w:pStyle w:val="Heading2"/>
      </w:pPr>
      <w:r>
        <w:t>Erwägungen</w:t>
      </w:r>
    </w:p>
    <w:p>
      <w:r>
        <w:rPr>
          <w:b/>
        </w:rPr>
        <w:t>E. 1</w:t>
      </w:r>
    </w:p>
    <w:p>
      <w:r>
        <w:t>Nachdem der Beschwerdeführer den in der bundesgerichtlichen Verfügung vom 11. November 2024 in Ablehnung des Gesuchs um unentgeltliche Rechtspflege einverlangten Kostenvorschuss innert gesetzter Nachfrist geleistet hat, ist der Prozess fortzuführen.</w:t>
      </w:r>
    </w:p>
    <w:p>
      <w:r>
        <w:rPr>
          <w:b/>
        </w:rPr>
        <w:t>E. 2</w:t>
      </w:r>
    </w:p>
    <w:p>
      <w:r>
        <w:t>Nach Art. 95 BGG kann mit der Beschwerde nebst anderem die Verletzung von Bundesrecht gerügt werden (lit. a), die Feststellung des Sachverhalts deübersetzung gratismgegenüber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3</w:t>
      </w:r>
    </w:p>
    <w:p>
      <w:r>
        <w:t>Das kantonale Gericht verweigerte dem Beschwerdeführer mit Verfügung vom 3. Oktober 2024 die unentgeltliche Rechtspflege im Verfahren VSBES.2024.175. Es erwog, sowohl die Einkommens- als auch die Vermögensverhältnisse des Beschwerdeführers würden es ihm - wie ausgewiesen - erlauben, einen Kostenvorschuss in der Höhe von Fr. 600.- zu bezahlen, womit das Gesuch mangels Bedürftigkeit abzuweisen sei. Dabei ging es in tatsächlicher Hinsicht unter anderem von einem liquiden Vermögen von insgesamt Fr. 38'625.53 aus (zwei Sparkonti à Fr. 8'318.17 und Fr. 14'617.36 sowie ein Aktiendepot Fr. 15'690.-;).</w:t>
      </w:r>
    </w:p>
    <w:p>
      <w:r>
        <w:rPr>
          <w:b/>
        </w:rPr>
        <w:t>E. 4</w:t>
      </w:r>
    </w:p>
    <w:p>
      <w:r>
        <w:t>Der Beschwerdeführer bestreitet die vorinstanzlichen Feststellungen zum Vermögen nicht. Ebenso wenig macht er mit der gebotenen Deutlichkeit geltend, daraus den anberaumten Kostenvorschuss von Fr. 600.- nicht bezahlen zu können. Statt dessen beschränkt er sich darauf zu beanstanden, dass sich in der kantonalen Verfügung keine näheren Ausführungen zum ihm zustehenden "Notgroschen" fänden, der gemäss "Google bei Fr. 24'000.-" liege. Dies genügt nicht, um darzutun, dass er finanziell nicht in der Lage wäre, ungeachtet der genauen Einkommensverhältnisse und notwendigen Lebenshaltungskosten für die vorinstanzlichen Prozesskosten aufzukommen. Damit ist den eingangs aufgezeigten Anforderungen an eine sachbezogene Begründung nicht Genüge getan.</w:t>
      </w:r>
    </w:p>
    <w:p>
      <w:r>
        <w:rPr>
          <w:b/>
        </w:rPr>
        <w:t>E. 5</w:t>
      </w:r>
    </w:p>
    <w:p>
      <w:r>
        <w:t>Da dieser Begründungsmangel offensichtlich ist, führt dies zu einem Nichteintreten auf das Rechtsmittel im vereinfachten Verfahren nach Art. 108 Abs. 1 lit. b BGG .</w:t>
      </w:r>
    </w:p>
    <w:p>
      <w:r>
        <w:rPr>
          <w:b/>
        </w:rPr>
        <w:t>E. 6</w:t>
      </w:r>
    </w:p>
    <w:p>
      <w:r>
        <w:t>Der unterliegende Beschwerdeführer wird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