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8C_605/2017 vom 9. Mai 2018</w:t>
      </w:r>
    </w:p>
    <w:p>
      <w:r>
        <w:t>Bundesgericht, 2018-05-09, DE</w:t>
      </w:r>
    </w:p>
    <w:p>
      <w:r>
        <w:rPr>
          <w:b/>
        </w:rPr>
        <w:t xml:space="preserve">Quelle: </w:t>
      </w:r>
      <w:r>
        <w:t>https://mcp.opencaselaw.ch/entscheid/bger_8C_605_2017</w:t>
      </w:r>
    </w:p>
    <w:p>
      <w:r>
        <w:t>FR: TF 8C_605/2017 du 9 mai 2018</w:t>
      </w:r>
    </w:p>
    <w:p>
      <w:r>
        <w:t>IT: TF 8C_605/2017 del 9 maggio 2018</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Mit der vorinstanzlichen Ausschliessung der Verwertung des Observationsmaterials ist die Eintretensvoraussetzung von Art. 93 Abs. 1 lit. a BGG erfüllt, denn die IV-Stelle wäre damit gezwungen, das von ihr als entscheidwesentlich angesehene Beweismaterial ausser Acht zu lassen und eine ihres Erachtens rechtswidrige Verfügung zu erlassen. Darin liegt ein nicht wieder gutzumachender Nachteil (Urteil 8C_272/2011 vom 11. November 2011 E. 1, nicht publ. in: BGE 137 I 327 , aber in: SVR 2012 IV Nr. 26 S. 107; Urteil 8C_192/2017 vom 25. August 2017 E. 1.2).</w:t>
      </w:r>
    </w:p>
    <w:p>
      <w:r>
        <w:rPr>
          <w:b/>
        </w:rPr>
        <w:t>E. 2</w:t>
      </w:r>
    </w:p>
    <w:p>
      <w:r>
        <w:t>Mit der beantragten Aufhebung des vorinstanzlichen Entscheids verbindet sich unmissverständlich der Antrag auf Bestätigung der Verfügung vom 28. Juni 2016, weshalb das rein kassatorisch gestellte Rechtsbegehren der IV-Stelle ( Art. 107 Abs. 2 BGG ; BGE 137 II 313 E. 1.3 S. 317) ohne Weiteres zulässig ist (Urteil 8C_235/2017 vom 23. November 2017 E. 2.1).</w:t>
      </w:r>
    </w:p>
    <w:p>
      <w:r>
        <w:rPr>
          <w:b/>
        </w:rPr>
        <w:t>E. 3</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4</w:t>
      </w:r>
    </w:p>
    <w:p>
      <w:r>
        <w:t>Streitig und zu prüfen ist, ob der vorinstanzliche Rückweisungsentscheid vor Bundesrecht standhält, soweit das kantonale Gericht damit die Observation als unzulässig erachtete und die Verwertung des Observationsmaterials und der sich darauf beziehenden Dokumente verbot beziehungsweise deren Vernichtung anordnete.</w:t>
      </w:r>
    </w:p>
    <w:p>
      <w:r>
        <w:rPr>
          <w:b/>
        </w:rPr>
        <w:t>E. 5</w:t>
      </w:r>
    </w:p>
    <w:p>
      <w:r>
        <w:t>Das kantonale Gericht stellte unter Hinweis auf das Urteil des Europäischen Gerichtshofs für Menschenrechte (EGMR) in Sachen Vukota-Bojic gegen die Schweiz vom 18. Oktober 2016 (61838/10) fest, dass die heimliche und zielgerichtete Überwachung des Versicherten im öffentlichen und privaten Raum, die auch Dritte miterfasst habe, verfassungs- und gesetzeswidrig sei. Das auf dieser Basis beschaffte Datenmaterial sei, ebenso wie die gestützt darauf verfassten Akten, zu vernichten.</w:t>
      </w:r>
    </w:p>
    <w:p>
      <w:r>
        <w:t>Die beschwerdeführende IV-Stelle macht geltend, dass die Überwachung rechtmässig gewesen und das dabei erhobene Beweismaterial verwertbar sei.</w:t>
      </w:r>
    </w:p>
    <w:p>
      <w:r>
        <w:rPr>
          <w:b/>
        </w:rPr>
        <w:t>E. 6.1</w:t>
      </w:r>
    </w:p>
    <w:p>
      <w:r>
        <w:t>Der EGMR hat im erwähnten Urteil Vukota-Bojic gegen die Schweiz über die EMRK-Konformität einer Observation, die im Auftrag eines (sozialen) Unfallversicherers durch einen Privatdetektiv erfolgt war, befunden. Er erkannte, dass eine ausreichende gesetzliche Grundlage für eine Observation nicht besteht, weshalb er auf eine Verletzung von Art. 8 EMRK (Recht auf Achtung des Privatlebens) schloss. Hingegen verneinte er eine Verletzung von Art. 6 Ziff. 1 EMRK (Gebot eines fairen Verfahrens) durch die erfolgte Verwendung der Observationsergebnisse.</w:t>
      </w:r>
    </w:p>
    <w:p>
      <w:r>
        <w:rPr>
          <w:b/>
        </w:rPr>
        <w:t>E. 6.2</w:t>
      </w:r>
    </w:p>
    <w:p>
      <w:r>
        <w:t>Das Bundesgericht hat unter Berücksichtigung der betreffenden Erwägungen des EGMR entschieden, dass es trotz Art. 59 Abs. 5 IVG ("Zur Bekämpfung des ungerechtfertigten Leistungsbezugs können die IV-Stellen Spezialisten beiziehen") auch im Bereich der Invalidenversicherung an einer ausreichenden gesetzlichen Grundlage fehlt, die die Observation umfassend klar und detailliert regelt. Folglich verletzen solche Handlungen, seien sie durch den Unfallversicherer oder durch eine IV-Stelle veranlasst, Art. 8 EMRK beziehungsweise den einen im Wesentlichen gleichen Gehalt aufweisenden Art. 13 BV ( BGE 143 I 377 ).</w:t>
      </w:r>
    </w:p>
    <w:p>
      <w:r>
        <w:rPr>
          <w:b/>
        </w:rPr>
        <w:t>E. 6.3</w:t>
      </w:r>
    </w:p>
    <w:p>
      <w:r>
        <w:t>Was die Verwendung des im Rahmen der widerrechtlichen Observation gewonnenen Materials anbelangt, richtet sich diese allein nach schweizerischem Recht. Das Bundesgericht hat in BGE 143 I 377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(E. 5.1.1 S. 385 f.). Mit Blick auf die gebotene Verfahrensfairness hat es sodann in derselben Erwägung (mit Hinweisen) eine weitere Präzisierung angebracht: Eine gegen Art. 8 EMRK verstossende Videoaufnahme ist verwertbar,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S. 386; SVR 2017 IV Nr. 89 S. 277, 8C_69/2017 E. 4; SZS 2017 S. 546, 8C_735/2016 E. 5.3.6; Urteile 8C_570/2016 vom 8. November 2017 E. 1.5 und 1.6; 8C_45/2017 vom 26. Juli 2017 E. 4; vgl. zum öffentlich einsehbaren Raum: BGE 137 I 327 ; Urteil 8C_830/2011 vom 9. März 2012 E. 6.4).</w:t>
      </w:r>
    </w:p>
    <w:p>
      <w:r>
        <w:t>Das Bundesgericht hat des Weiteren erkannt, dass teilweise als unzulässig zu qualifizierende (weil nicht im öffentlich frei einsehbaren Raum angefertigte) Videosequenzen nicht zur Unverwertbarkeit eines Überwachungsberichts als Ganzem führt (Urteil 8C_570/2016 vom 8. November 2017 E. 2.2 und 2.3).</w:t>
      </w:r>
    </w:p>
    <w:p>
      <w:r>
        <w:rPr>
          <w:b/>
        </w:rPr>
        <w:t>E. 7.1</w:t>
      </w:r>
    </w:p>
    <w:p>
      <w:r>
        <w:t>Mit Rücksicht auf diese Rechtsprechung ist mit dem kantonalen Gericht eine Verletzung von Art. 8 EMRK und Art. 13 BV und Unzulässigkeit der Observation festzustellen. Hingegen erweist sich der angefochtene Entscheid insoweit als bundesrechtswidrig, als er die Verwertbarkeit der Observationsergebnisse betrifft und ohne Weiteres deren Vernichtung angeordnet wurde. Es bleibt zu prüfen, ob die Voraussetzungen für eine Verwertung erfüllt sind.</w:t>
      </w:r>
    </w:p>
    <w:p>
      <w:r>
        <w:rPr>
          <w:b/>
        </w:rPr>
        <w:t>E. 7.2</w:t>
      </w:r>
    </w:p>
    <w:p>
      <w:r>
        <w:t>Bei der vorzunehmenden Interessenabwägung ist zunächst zu berücksichtigen, dass sich in den Akten nach den vorinstanzlichen Feststellungen zahlreiche Anhaltspunkte für Inkonsistenzen und Aggravation fänden. Zudem habe der Versicherte mehrere Fragen der Gutachter zum Suchtmittelkonsum und zur Medikamenteneinnahme tatsachenwidrig beantwortet. Damit bestanden hinreichende Gründe zur Veranlassung einer Überwachung.</w:t>
      </w:r>
    </w:p>
    <w:p>
      <w:r>
        <w:t>Die Observation erfolgte am 17. und am 22. Dezember 2015, am 22. Januar sowie am 5., am 19. und am 26. Februar 2016, also an sechs Tagen, wobei der Versicherte an zwei Tagen nicht beobachtet werden konnte. Er hielt sich dabei etwa an einer Tankstelle, auf dem Areal eines Autooccasionsmarktes oder in einem Restaurant auf. Dokumentiert ist des Weiteren, wie der Versicherte auf dem Balkon seiner im zweiten Stock gelegenen Wohnung zusammen mit einer anderen Person mit einem Lattenrost hantiert, wobei dieser über das Geländer gehoben und nach unten abgeseilt wird.</w:t>
      </w:r>
    </w:p>
    <w:p>
      <w:r>
        <w:t>Da sich die Überwachung auf einen verhältnismässig kurzen Zeitraum beschränkte und es sich bei den beobachteten Tätigkeiten um unbeeinflusste alltägliche Verrichtungen im öffentlich einsehbaren Raum handelte, war die Privatsphäre des Versicherten durch die Observation nur geringfügig betroffen. Dies gilt insbesondere auch für die auf dem Balkon gefilmte Szene. Wie dem in den Akten befindlichen Situationsplan und weiteren Fotos zu entnehmen ist, handelte es sich dabei um einen strassenseitigen Balkon. Es kann deshalb nicht von einer schweren Verletzung der Persönlichkeit ausgegangen werden. Dem gegenüberzustellen gilt es das Interesse des Versicherungsträgers und der Versichertengemeinschaft, unrechtmässige Leistungsbezüge abzuwenden. Dieses ist unter den hier gegebenen Umständen höher zu gewichten als das Interesse des Versicherten an einer unbehelligten Privatsphäre. Damit können im vorliegenden Fall die ohne ausreichende gesetzliche Grundlage erhobenen Observationsergebnisse in Form des entsprechenden Berichts sowie der Foto- und Videoaufnahmen (uneingeschränkt) verwertet werden. Gleiches gilt auch für die danach ergangenen weiteren Beweise wie namentlich die Aufzeichungen der IV-Ärztin Dr. med. K.________ (medizinische Stellungnahme vom 16. März 2016 sowie das Protokoll vom 20. Mai 2016 über ihre Wahrnehmungen anlässlich des Standortgesprächs). Sie sind bei den von der IV-Stelle nach dem Entscheid des kantonalen Gerichts in die Wege zu leitenden weiteren medizinischen Abklärungen zu berücksichtigen.</w:t>
      </w:r>
    </w:p>
    <w:p>
      <w:r>
        <w:rPr>
          <w:b/>
        </w:rPr>
        <w:t>E. 8</w:t>
      </w:r>
    </w:p>
    <w:p>
      <w:r>
        <w:t>Das Verfahren ist kostenpflichtig ( Art. 65 BGG ). Die Gerichtskosten werden dem unterliegenden Beschwerdegegner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