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604/2011 vom 23. Januar 2012</w:t>
      </w:r>
    </w:p>
    <w:p>
      <w:r>
        <w:t>Bundesgericht, 2012-01-23, DE</w:t>
      </w:r>
    </w:p>
    <w:p>
      <w:r>
        <w:rPr>
          <w:b/>
        </w:rPr>
        <w:t xml:space="preserve">Quelle: </w:t>
      </w:r>
      <w:r>
        <w:t>https://mcp.opencaselaw.ch/entscheid/bger_8C_604_2011</w:t>
      </w:r>
    </w:p>
    <w:p>
      <w:r>
        <w:t>FR: TF 8C 604/2011 du 23 janvier 2012</w:t>
      </w:r>
    </w:p>
    <w:p>
      <w:r>
        <w:t>IT: TF 8C 604/2011 del 23 gennaio 2012</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Die Vorinstanz stützte sich bei ihrer Beurteilung der zumutbaren Arbeitsunfähigkeit massgeblich auf den BEFAS-Bericht vom 26. August 2008 ab und hielt eine Verschlechterung des Gesundheitszustandes nach Erstellung des BEFAS-Berichtes gestützt auf die Berichte des Dr. med. S.________, Facharzt für Neurochirurgie, Klinik Y.________, vom 2. März, 22. April, 7. Mai und 6. Oktober 2009 für nicht ausgewiesen. Dies wird vom Versicherten vor Bundesgericht nicht beanstandet. Seine Einwände beziehen sich ausschliesslich auf die Ermittlung des Validen- und Invalideneinkommens.</w:t>
      </w:r>
    </w:p>
    <w:p>
      <w:r>
        <w:rPr>
          <w:b/>
        </w:rPr>
        <w:t>E. 3.1</w:t>
      </w:r>
    </w:p>
    <w:p>
      <w:r>
        <w:t>Bei erwerbstätigen Versicherten ist der Invaliditätsgrad auf 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348 E. 3.4 S. 348, 128 V 30 E. 1 S. 30, 104 V 136 E. 2a und b S. 136).</w:t>
      </w:r>
    </w:p>
    <w:p>
      <w:r>
        <w:rPr>
          <w:b/>
        </w:rPr>
        <w:t>E. 3.2</w:t>
      </w:r>
    </w:p>
    <w:p>
      <w:r>
        <w:t>Was zunächst die Ermittlung des Valideneinkommens anbelangt,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135 V 297 E. 5.1 S. 300 mit Hinweisen).</w:t>
      </w:r>
    </w:p>
    <w:p>
      <w:r>
        <w:rPr>
          <w:b/>
        </w:rPr>
        <w:t>E. 3.3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seitens der SUVA) herangezogen werden ( BGE 135 V 297 E. 5.2 S. 301; 129 V 472 E. 4.2.1 S. 475). 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im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 Dabei ist zu beachten, dass allfällige bereits bei der Parallelisierung der Vergleichseinkommen mitverantwortliche invaliditätsfremde Faktoren im Rahmen des sogenannten Leidensabzuges nicht nochmals berücksichtigt werden dürfen ( BGE 134 V 322 E. 5.2 S. 327; vgl. BGE 135 V 297 E. 5.3 S. 302 und E. 6.2 S. 305).</w:t>
      </w:r>
    </w:p>
    <w:p>
      <w:r>
        <w:rPr>
          <w:b/>
        </w:rPr>
        <w:t>E. 4.1</w:t>
      </w:r>
    </w:p>
    <w:p>
      <w:r>
        <w:t>Bezüglich des Valideneinkommens rügt der Versicherte die Ausserachtlassung seiner Einkünfte aus seiner Tätigkeit für die Firma G.________ GmbH und macht ein massgebendes Valideneinkommen von Fr. 68'604.- resp. von Fr. 71'682.- geltend. Der Versicherte hat gemäss den Einträgen im individuellen Konto (IK) in den Jahren vor Eintritt seiner Arbeitsunfähigkeit ein sehr unregelmässiges Einkommen erzielt. Unter Berücksichtigung dieser Zahlen fällt das Valideneinkommen von Fr. 57'527.- nicht zu seinen Ungunsten aus. Die vorinstanzliche Annahme, die Erzielung eines Erwerbseinkommens aus dem Verkauf von Golfartikeln im Rahmen der GmbH sei im Gesundheitsfall nicht überwiegend wahrscheinlich gewesen, ist nicht offensichtlich unrichtig (vgl. E. 1.2): Einerseits hat der Versicherte schon vor der Gründung der GmbH als Einzelfirma mit Golfartikeln gehandelt, deren Einnahmen in den berücksichtigten IK-Einträgen mitenthalten sind; andererseits hat der Mitgesellschafter gemäss den Angaben des Versicherten in seiner Beschwerde die GmbH nicht als Folge der Arbeitsunfähigkeit des Beschwerdeführers verlassen, so dass davon ausgegangen werden darf, der Versicherte hätte im Gesundheitsfall nach dem Weggang seines Geschäftspartners wieder im zuvor ausgeübten Ausmass Handel mit Golfartikeln betrieben. Damit ist das vorinstanzlich festgesetzte Valideneinkommen von Fr. 57'527.- nicht zu beanstanden.</w:t>
      </w:r>
    </w:p>
    <w:p>
      <w:r>
        <w:rPr>
          <w:b/>
        </w:rPr>
        <w:t>E. 4.2</w:t>
      </w:r>
    </w:p>
    <w:p>
      <w:r>
        <w:t>Bezüglich des Invalideneinkommens rügt der Versicherte einen zu niedrigen behinderungsbedingten Abzug. Während die Vorinstanz eine Reduktion um 5 % vorgenommen hat, verlangt er eine solche um 20 %.</w:t>
      </w:r>
    </w:p>
    <w:p>
      <w:r>
        <w:rPr>
          <w:b/>
        </w:rPr>
        <w:t>E. 4.2.1</w:t>
      </w:r>
    </w:p>
    <w:p>
      <w:r>
        <w:t>Die Frage, ob ein so genannt leidens- oder behinderungsbedingter Abzug ( BGE 135 V 297 E. 5.2 S. 301 mit Hinweisen) vom auf tabellarischer Grundlage ermittelten Invalidenlohn nach Massgabe der in BGE 126 V 75 aufgestellten Grundsätze vorgenommen werden kann, ist rechtlicher Natur und insoweit vom Bundesgericht frei überprüfbar. Die Festlegung der Höhe eines solchen Leidensabzuges hingegen beschlägt eine typische Ermessensfrage, welche angesichts der dem Bundesgericht zukommenden Überprüfungsbefugnis letztinstanzlicher Korrektur nur mehr dort zugänglich ist ( Art. 95 und 97 BGG ), wo das kantonale Gericht sein Ermessen rechtsfehlerhaft ausgeübt hat, also bei Ermessensüber- oder -unterschreitung resp. bei Ermessensmissbrauch als Formen rechtsfehlerhafter ( Art. 95 lit. a BGG ) Ermessensbetätigung ( BGE 132 V 393 E. 2.2 S. 396 und E. 3.3 S. 399).</w:t>
      </w:r>
    </w:p>
    <w:p>
      <w:r>
        <w:rPr>
          <w:b/>
        </w:rPr>
        <w:t>E. 4.2.2</w:t>
      </w:r>
    </w:p>
    <w:p>
      <w:r>
        <w:t>Der Versicherte leidet an multiplen Beschwerden, vor allem am Rücken und an den Hüften, so dass er auch bei grundsätzlich zumutbaren Tätigkeiten zahlreichen Einschränkungen unterliegt. Das Asthma erfordert weiter eine saubere Arbeitsumgebung. Zudem ist ihm nur noch eine teilzeitliche Tätigkeit von 55 % zumutbar. Rechtsprechungsgemäss gebietet sich deshalb zweifellos ein leidensbedingter Abzug. Das kantonale Gericht hat bei dessen Schätzung zwar zu Recht berücksichtigt, dass der Beschwerdeführer wegen der erforderlichen Teilzeittätigkeit eine Lohneinbusse hinnehmen muss, hat deren Ausmass indessen nicht näher quantifiziert. Gemäss der Lohnstrukturerhebung des Bundes (LSE) 2004 Tabelle T6*, Anforderungsniveau 4, erzielten Männer Teilzeit zwischen 50 % und 74 % im Vergleich zu Männer Vollzeit (≥ 90 %) einen um 10,07 % reduzierten Verdienst. Da der Beschwerdeführer während seiner bisherigen beruflichen Tätigkeit durchwegs als Golflehrer tätig war, bringt er in einer ihm noch zumutbaren Tätigkeit keine lohnwirksame Erfahrung mit, womit er wegen des Alters entgegen der Auffassung des kantonalen Gerichts nicht bessergestellt ist. Sein Aufenthaltstatus C (Niederlassungsbewilligung) kann sich zwar grundsätzlich positiv auf die Verdienstmöglichkeiten auswirken, gemäss LSE 2004 Tabelle TA 12 beträgt die Differenz zum Total indessen nur Fr. 59.- pro Monat, was vernachlässigbar ist. All diesen Aspekten vermag der minimale Abzug von 5 % schlechterdings nicht Rechnung zu tragen, weshalb die vorinstanzliche Schätzung rechtsfehlerhaft ist. Der Abzug ist auf mindestens 10 % festzulegen. Dies ergibt ein Invalideneinkommen von Fr. 28'593.- (= 90 % des vorinstanzlich ermittelten Invalideneinkommens vor Abzug von Fr. 31'770.-).</w:t>
      </w:r>
    </w:p>
    <w:p>
      <w:r>
        <w:rPr>
          <w:b/>
        </w:rPr>
        <w:t>E. 4.3</w:t>
      </w:r>
    </w:p>
    <w:p>
      <w:r>
        <w:t>Angesichts des Valideneinkommens von Fr. 57'527.- und des Invalideneinkommens von Fr. 28'593.- resultiert ein Invaliditätsgrad von gerundet 50 %. Damit hat der Versicherte - wie in den Verfügungen vom 18. November 2009 und 6. Januar 2010 ursprünglich festgehalten - Anspruch auf eine halbe Invalidenrente. Daran würde sich im Übrigen selbst dann nichts ändern, wenn - wie beantragt - vom Invalideneinkommen ein Abzug von 20 % vorgenommen würde. Das so berechnete Invalideneinkommen von Fr. 25'416.- führte zu einem Invaliditätsgrad von 55,8 %, womit die Schwelle zur Dreiviertelsrente (60 %) so oder anders nicht überschritten würde.</w:t>
      </w:r>
    </w:p>
    <w:p>
      <w:r>
        <w:rPr>
          <w:b/>
        </w:rPr>
        <w:t>E. 5</w:t>
      </w:r>
    </w:p>
    <w:p>
      <w:r>
        <w:t>Bei diesem Verfahrensausgang rechtfertigt es sich, die Gerichtskosten (Art. 65 Abs. 1 und Abs. 4 lit. a BGG) dem Beschwerdeführer und der IV-Stelle je zur Hälfte aufzuerlegen ( Art. 66 Abs. 1 BGG ; BGE 133 V 642 ). Dem Versicherten steht gegenüber der IV-Stelle eine entsprechend reduzierte Parteientschädigung zu ( Art. 68 Abs. 2 BGG ). Die unentgeltliche Rechtspflege kann dem Versicherten, soweit er unterliegt, gewährt werden, da die Bedürftigkeit aktenkundig ist, sein Rechtsbegehren nicht von vornherein aussichtslos und die Vertretung notwendig war ( Art. 64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