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8C_603/2017 vom 20. März 2018</w:t>
      </w:r>
    </w:p>
    <w:p>
      <w:r>
        <w:t>Bundesgericht, 2018-03-20, DE</w:t>
      </w:r>
    </w:p>
    <w:p>
      <w:r>
        <w:rPr>
          <w:b/>
        </w:rPr>
        <w:t xml:space="preserve">Quelle: </w:t>
      </w:r>
      <w:r>
        <w:t>https://mcp.opencaselaw.ch/entscheid/bger_8C_603_2017</w:t>
      </w:r>
    </w:p>
    <w:p>
      <w:r>
        <w:t>FR: TF 8C_603/2017 du 20 mars 2018</w:t>
      </w:r>
    </w:p>
    <w:p>
      <w:r>
        <w:t>IT: TF 8C_603/2017 del 20 marzo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t>Die Beschwerde 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die Vorinstanz Bundesrecht verletzte, indem sie die von der Beschwerdegegnerin verfügte Herabsetzung der bisherigen ganzen auf eine Dreiviertelsrente per 31. Oktober 2006 und deren Aufhebung per 31. Juli 2007 bestätigte.</w:t>
      </w:r>
    </w:p>
    <w:p>
      <w:r>
        <w:t>Die hiefür massgebenden Rechtsgrundlagen sind im angefochtenen Entscheid zutreffend dargelegt worden. Die Vorinstanz hat richtig erkannt, dass sich der Sachverhalt teilweise vor dem Inkrafttreten der 5. IV-Revision am 1. Januar 2008 verwirklicht hat, weshalb bis 31. Dezember 2007 auf die damals geltenden Bestimmungen und ab 1. Januar 2008 auf die neuen Normen der 5. IV-Revision abzustellen ist ( BGE 130 V 445 ). Dies ist jedoch - wie das kantonale Gericht dargelegt hat - ohne Belang, weil diese Revision keine substanziellen Änderungen bei der Invaliditätsbemessung gebracht hat (vgl. Urteil 8C_106/2013 vom 31. Mai 2013 E. 2). Weiter hat die Vorinstanz die Bestimmungen und Grundsätze zu den Begriffen der Invalidität ( Art. 4 Abs. 1 IVG in Verbindung mit Art. 8 Abs. 1 ATSG ) und Erwerbsunfähigkeit ( Art. 7 ATSG ), zum Anspruch auf eine Invalidenrente ( Art. 28 IVG ) und zu den bei einer rückwirkend zugesprochenen abgestuften oder befristeten Rente analog anwendbaren Bestimmungen der Rentenrevision ( BGE 133 V 263 E. 6.1 S. 263; 131 V 164 E. 2.2 S. 165) zutreffend dargelegt. Richtig sind schliesslich die Ausführungen zum Beweiswert und zur Beweiswürdigung medizinischer Berichte und Gutachten ( BGE 137 V 210 E. 6.2.2 S. 269; 134 V 231 E. 5.1 S. 232; 125 V 351 E. 3 S. 352 mit Hinweisen). Darauf wird verwiesen.</w:t>
      </w:r>
    </w:p>
    <w:p>
      <w:r>
        <w:rPr>
          <w:b/>
        </w:rPr>
        <w:t>E. 3.1</w:t>
      </w:r>
    </w:p>
    <w:p>
      <w:r>
        <w:t>Das kantonale Gericht hat in umfassender Würdigung der gesamten medizinischen Aktenlage, insbesondere gestützt auf das polydisziplinäre Gutachten der MEDAS Ostschweiz vom 26. Juni 2014, welches im Wesentlichen an dasjenige der MEDAS Interlaken vom 17. Januar 2012 anknüpfe, festgestellt, der Beschwerdeführer sei in der angestammten Tätigkeit vollumfänglich arbeitsunfähig. Körperlich leichte Tätigkeiten ohne stärkere kraftmässige Beanspruchungen des rechten dominanten Armes und ohne Arbeiten über Schulterhöhe, welche kein räumliches Sehen erfordern, seien dem Versicherten mit gewissen Einschränkungen indes seit August 2006 zu 50% mit einer Leistungsminderung von 10% und seit Mai 2007 zu 100% mit einer Leistungsminderung von 20% zumutbar. Die Vorinstanz ging bei diesen Feststellungen gestützt auf das Gutachten vom 26. Juni 2014 davon aus, dass die Arbeitsfähigkeit durch die Schulterbeschwerden und eine Störung des visuo-optischen Systems eingeschränkt werde, wohingegen die Nebendiagnosen wie dysfunktionale Krankheitsverarbeitung, redzidivierende depressive Störung, gegenwärtig remittiert, Tabak- und Alkoholabusus usw. keinen wesentlichen Einfluss auf die Arbeitsfähigkeit hätten.</w:t>
      </w:r>
    </w:p>
    <w:p>
      <w:r>
        <w:rPr>
          <w:b/>
        </w:rPr>
        <w:t>E. 3.2</w:t>
      </w:r>
    </w:p>
    <w:p>
      <w:r>
        <w:t>Die durch das kantonale Gericht getroffenen Tatsachenfeststellungen, namentlich die aus den medizinischen Unterlagen gewonnenen Erkenntnisse, sind im letztinstanzlichen Prozess grundsätzlich verbindlich (vgl. E. 1.2 hievor). Im Rahmen der eingeschränkten Sachverhaltskontrolle ( Art. 97 Abs. 1 BGG ) ist es nicht Aufgabe des Bundesgerichts, die schon im vorangehenden Verfahren aufliegenden ärztlichen Berichte neu zu beurteilen und die rechtsfehlerfreie Sachverhaltsfeststellung der Vorinstanz hinsichtlich der medizinisch begründeten Verminderung des Leistungsvermögens und des Ausmasses der trotz gesundheitlicher Beeinträchtigungen verbleibenden Arbeitsfähigkeit zu korrigieren.</w:t>
      </w:r>
    </w:p>
    <w:p>
      <w:r>
        <w:rPr>
          <w:b/>
        </w:rPr>
        <w:t>E. 3.3</w:t>
      </w:r>
    </w:p>
    <w:p>
      <w:r>
        <w:t>Die Vorbringen des Beschwerdeführers zeigen keine offensichtliche Unrichtigkeit der vorinstanzlichen Schlussfolgerungen auf:</w:t>
      </w:r>
    </w:p>
    <w:p>
      <w:r>
        <w:rPr>
          <w:b/>
        </w:rPr>
        <w:t>E. 3.3.1</w:t>
      </w:r>
    </w:p>
    <w:p>
      <w:r>
        <w:t>Das kantonale Gericht hat die medizinische Aktenlage pflichtgemäss gewürdigt. Wie es dargelegt hat, erfüllen das polydisziplinäre Gutachten der MEDAS Ostschweiz vom 26. Juni 2014 und auch dasjenige der MEDAS Interlaken vom 17. Januar 2012 die von der Rechtsprechung gestellten Anforderungen; sie beruhen auf eigenen Untersuchungen, eingehender Anamneseerhebung und setzen sich insbesondere auch mit den anderen medizinischen Berichten auseinander.</w:t>
      </w:r>
    </w:p>
    <w:p>
      <w:r>
        <w:rPr>
          <w:b/>
        </w:rPr>
        <w:t>E. 3.3.2</w:t>
      </w:r>
    </w:p>
    <w:p>
      <w:r>
        <w:t>Auf ein im Verfahren nach Art. 44 ATSG eingeholtes Gutachten ist rechtsprechungsgemäss abzustellen, wenn nicht konkrete Indizien gegen die Zuverlässigkeit der Expertise sprechen ( BGE 135 V 465 E. 4.4 S. 470; vgl. auch Urteil 8C_5/2018 vom 2. März 2018 E. 5). Solche vermag der Versicherte nicht darzutun, zumal er weitgehend die bereits vorinstanzlich erhobenen Einwendungen wiederholt, mit denen sich das kantonale Gericht einlässlich auseinandergesetzt hat. Soweit der Beschwerdeführer wiederum das Fehlen einer neuropsychologischen Abklärung rügt, ist mit der Vorinstanz darauf hinzuweisen, dass es grundsätzlich den begutachtenden Ärztinnen und Ärzte überlassen ist, über Art und Umfang der aufgrund der konkreten Fragestellung erforderlichen Untersuchungen zu befinden (vgl. Urteile 8C_639/2011 vom 5. Januar 2012 E. 4.3.4, 8C_362/2010 vom 11. März 2011 E. 4.2.1). Vorliegend hat die IV-Stelle eine umfassende Abklärung in den Bereichen Allgemeine/Innere Medizin, Neurologie, Psychiatrie und Rheumatologie als notwendig erachtet, wobei der neurologische Teilgutachter eine aktuelle Anamnese sowie einen vollständigen neurologischen Status erhob und die geklagten neuropsychologischen Störungen mitberücksichtigte. Die Kritik des Beschwerdeführers gründet sodann fast ausschliesslich auf den Berichten des behandelnden Dr. med. C.________. Diesbezüglich hat das kantonale Gericht zu Recht auf die Erfahrungstatsache hingewiesen, wonach behandelnde Ärzte im Hinblick auf ihre auftragsrechtliche Vertrauensstellung in Zweifelsfällen eher zugunsten ihrer Patienten aussagen ( BGE 135 V 465 E. 4.5 S. 470; 135 V351 E. 3a/cc S. 353; Urteil 8C_180/2017 vom 21. Juni 2017 E. 4.4.2 mit weiteren Hinweisen). Zudem hat es aufgezeigt, dass dessen Aussagen teilweise eher als jene eines Interessenvertreters und nicht als solche eines objektiven medizinischen Experten zu qualifizieren sind, so dass deren Beweiswert erheblich geschmälert ist (SVR 2016 UV Nr. 27 S. 89 E. 4.2 mit Hinweisen, 8C_448/2015).</w:t>
      </w:r>
    </w:p>
    <w:p>
      <w:r>
        <w:rPr>
          <w:b/>
        </w:rPr>
        <w:t>E. 3.4</w:t>
      </w:r>
    </w:p>
    <w:p>
      <w:r>
        <w:t>Zusammenfassend beruhen die vorinstanzlichen Annahmen zum Gesundheitszustand und zur Arbeitsfähigkeit des Versicherten weder auf offensichtlich unrichtigen noch auf sonstwie rechtsfehlerhaften Tatsachenfeststellungen. Weil von zusätzlichen medizinischen Abklärungsmassnahmen keine neuen entscheidwesentlichen Aufschlüsse zu erwarten sind, konnte und kann auf weitergehende medizinische Erhebungen und Gutachten verzichtet werden (antizipierte Beweiswürdigung; BGE 136 I 229 E. 5.3 S. 236 f. mit Hinweis).</w:t>
      </w:r>
    </w:p>
    <w:p>
      <w:r>
        <w:rPr>
          <w:b/>
        </w:rPr>
        <w:t>E. 4</w:t>
      </w:r>
    </w:p>
    <w:p>
      <w:r>
        <w:t>Die vorinstanzliche Invaliditätsbemessung und namentlich der Zeitpunkt von Rentenreduktion bzw. Rentenaufhebung werden nicht substanziiert bestritten. Soweit der Beschwerdeführer die Verwertbarkeit der Restarbeitsfähigkeit auf dem freien Arbeitsmarkt anzweifelt, sind mit dem kantonalen Gericht im Hinblick auf die beruflich-erwerblichen Auswirkungen der ermittelten gesundheitlichen Einschränkungen keine Gründe erkennbar, welche es dem Versicherten verunmöglichten, seine verbliebene Arbeitskraft auf dem - hier relevanten - ausgeglichenen Arbeitsmarkt zu verwerten. Zu einer näheren Prüfung der Invaliditätsbemessung besteht kein Anlass. Damit hat es beim angefochtenen Entscheid sein Bewenden.</w:t>
      </w:r>
    </w:p>
    <w:p>
      <w:r>
        <w:rPr>
          <w:b/>
        </w:rPr>
        <w:t>E. 5</w:t>
      </w:r>
    </w:p>
    <w:p>
      <w:r>
        <w:t>Da die Beschwerde offensichtlich unbegründet ist, wird sie im vereinfachten Verfahren nach Art. 109 Abs. 2 lit. a BGG erledigt. Das Gesuch um unentgeltliche Rechtspflege im bundesgerichtlichen Verfahren ist wegen Aussichtslosigkeit abzuweisen ( Art. 64 Abs. 1 BGG ).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