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8C_602/2007 vom 13. Dezember 2007</w:t>
      </w:r>
    </w:p>
    <w:p>
      <w:r>
        <w:t>Bundesgericht, 2007-12-13, FR</w:t>
      </w:r>
    </w:p>
    <w:p>
      <w:r>
        <w:rPr>
          <w:b/>
        </w:rPr>
        <w:t xml:space="preserve">Quelle: </w:t>
      </w:r>
      <w:r>
        <w:t>https://mcp.opencaselaw.ch/entscheid/bger_8C_602_2007</w:t>
      </w:r>
    </w:p>
    <w:p>
      <w:r>
        <w:t>FR: TF 8C_602/2007 du 13 décembre 2007</w:t>
      </w:r>
    </w:p>
    <w:p>
      <w:r>
        <w:t>IT: TF 8C_602/2007 del 13 dicembre 2007</w:t>
      </w:r>
    </w:p>
    <w:p>
      <w:pPr>
        <w:pStyle w:val="Heading2"/>
      </w:pPr>
      <w:r>
        <w:t>Erwägungen</w:t>
      </w:r>
    </w:p>
    <w:p>
      <w:r>
        <w:rPr>
          <w:b/>
        </w:rPr>
        <w:t>E. 1</w:t>
      </w:r>
    </w:p>
    <w:p>
      <w:r>
        <w:t>Le jugement attaqué a été rendu après l'entrée en vigueur, le 1er janvier 2007 (RO 2006 1242), de la loi fédérale sur le Tribunal fédéral (LTF; RS 173. 110), si bien que le recours est régi par le nouveau droit ( art. 132 al. 1 LTF ).</w:t>
      </w:r>
    </w:p>
    <w:p>
      <w:r>
        <w:rPr>
          <w:b/>
        </w:rPr>
        <w:t>E. 2</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(p. ex. arrêt du 28 juin 2007, 5A_129/2007; cf. ATF 121 III 397 consid. 2a p. 400, 116 II 745 consid. 3 p. 748 s. et les arrêts cités). Saisi d'un recours en matière de droit public, le Tribunal fédéral applique en effet le droit d'office ( art. 106 al. 1 LTF ).</w:t>
      </w:r>
    </w:p>
    <w:p>
      <w:r>
        <w:rPr>
          <w:b/>
        </w:rPr>
        <w:t>E. 3</w:t>
      </w:r>
    </w:p>
    <w:p>
      <w:r>
        <w:t>D'après l' art. 25 al. 1 1 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 art. 25 al. 1 2 e phrase LPGA). Dans la mesure où la demande ne peut être traitée sur le fond que si la décision de restitution est entrée en force, la remise et son étendue font l'objet d'une procédure distincte (cf. art. 4 al. 2 OPGA ; arrêt P 63/06 du 14 mars 2007 consid. 3 et arrêt C 264/05 du 25 janvier 2006, consid. 2.1). La demande doit être écrite, motivée et accompagnée des pièces nécessaires et être déposée auprès de l'autorité cantonale compétente au plus tard 30 jours à compter de l'entrée en force de la décision de restitution ( art. 4 al. 4 OPGA ). Il ne s'agit là toutefois que d'un délai d'ordre, et non de péremption ( ATF 132 V 42 consid. 3.4 p. 46).</w:t>
      </w:r>
    </w:p>
    <w:p>
      <w:r>
        <w:rPr>
          <w:b/>
        </w:rPr>
        <w:t>E. 4</w:t>
      </w:r>
    </w:p>
    <w:p>
      <w:r>
        <w:t>En l'espèce, le recourant reproche aux premiers juges de ne pas s'être prononcés sur ses griefs tirés de son absence d'enrichissement. Il fait valoir que la décision de restitution a pour effet de réduire ses économies et de le mettre dans une situation difficile. Il se prévaut de sa bonne foi, ainsi que de celle de son tuteur. Ces motifs ont trait en réalité à la remise de l'obligation de restituer, sur laquelle ni l'administration ni les premiers juges n'ont statué. Le tribunal cantonal mentionne d'ailleurs expressément la possibilité pour le recourant de demander une remise (p. 6 in fine). Pour ce qui est de la décision de restitution comme telle et de la réduction de la prestation complémentaire à partir du mois de janvier 2007, le recourant n'indique d'aucune manière en quoi les premiers juges auraient violé les règles applicables. A défaut d'argumentation topique qui répondrait à la motivation retenue par la juridiction cantonale (cf. ATF 123 V 335 , 113 Ib 287), l'écriture du recourant ne constitue pas un recours valable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