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601/2011 vom 9. Januar 2012</w:t>
      </w:r>
    </w:p>
    <w:p>
      <w:r>
        <w:t>Bundesgericht, 2012-01-09, DE</w:t>
      </w:r>
    </w:p>
    <w:p>
      <w:r>
        <w:rPr>
          <w:b/>
        </w:rPr>
        <w:t xml:space="preserve">Quelle: </w:t>
      </w:r>
      <w:r>
        <w:t>https://mcp.opencaselaw.ch/entscheid/bger_8C_601_2011</w:t>
      </w:r>
    </w:p>
    <w:p>
      <w:r>
        <w:t>FR: TF 8C 601/2011 du 9 janvier 2012</w:t>
      </w:r>
    </w:p>
    <w:p>
      <w:r>
        <w:t>IT: TF 8C 601/2011 del 9 gennaio 2012</w:t>
      </w:r>
    </w:p>
    <w:p>
      <w:pPr>
        <w:pStyle w:val="Heading2"/>
      </w:pPr>
      <w:r>
        <w:t>Regeste</w:t>
      </w:r>
    </w:p>
    <w:p>
      <w:r>
        <w:t>Unfallversicherung | Unfallversicherung</w:t>
      </w:r>
    </w:p>
    <w:p>
      <w:pPr>
        <w:pStyle w:val="Heading2"/>
      </w:pPr>
      <w:r>
        <w:t>Erwägungen</w:t>
      </w:r>
    </w:p>
    <w:p>
      <w:r>
        <w:rPr>
          <w:b/>
        </w:rPr>
        <w:t>E. 1.1</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und Unfallversicherung ist das Bundesgericht nicht an die vorinstanzliche Feststellung des rechtserheblichen Sachverhalts gebunden ( Art. 97 Abs. 2 und Art. 105 Abs. 3 BGG ).</w:t>
      </w:r>
    </w:p>
    <w:p>
      <w:r>
        <w:rPr>
          <w:b/>
        </w:rPr>
        <w:t>E. 2</w:t>
      </w:r>
    </w:p>
    <w:p>
      <w:r>
        <w:t>Streitig und zu prüfen ist, ob die Allianz ihre Leistungen (Heilbehandlung; Taggeld) zu Recht per 31. Mai 2004 eingestellt hat. Laut Erwägungen des kantonalen Gerichts steht aufgrund der medizinischen Akten mit überwiegender Wahrscheinlichkeit fest, dass das chronische linksseitige lumboischialgieforme Schmerzsyndrom spätestens nach Ablauf eines Jahres nicht mehr natürlich kausale Folge des Treppensturzes vom 12. Mai 2003 war.</w:t>
      </w:r>
    </w:p>
    <w:p>
      <w:r>
        <w:rPr>
          <w:b/>
        </w:rPr>
        <w:t>E. 3.1</w:t>
      </w:r>
    </w:p>
    <w:p>
      <w:r>
        <w:t>Die Allianz hat im Einspracheentscheid vom 17. Dezember 2009, worauf die Vorinstanz hingewiesen hat, die Bestimmungen und Grundsätze über den für die Leistungspflicht des obligatorischen Unfallversicherers ( Art. 6 Abs. 1 UVG in Verbindung mit Art. 4 ATSG ) vorausgesetzten natürlichen Kausalzusammenhang zwischen Unfall und eingetretenem Schaden (vgl. auch BGE 134 V 109 E. 2.1 S. 111 f., 129 V 177 E. 3.1 S. 181 mit Hinweisen) sowie den Wegfall des ursächlichen Zusammenhangs bei Erreichen des status quo sine vel ante (SVR 2009 UV Nr. 3 S. 9, 8C_354/2007 E. 2.2) richtig dargelegt.</w:t>
      </w:r>
    </w:p>
    <w:p>
      <w:r>
        <w:rPr>
          <w:b/>
        </w:rPr>
        <w:t>E. 3.2.1</w:t>
      </w:r>
    </w:p>
    <w:p>
      <w:r>
        <w:t>Gemäss der weiter zutreffend zitierten Rechtsprechung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U 138/99 E. 2a).</w:t>
      </w:r>
    </w:p>
    <w:p>
      <w:r>
        <w:rPr>
          <w:b/>
        </w:rPr>
        <w:t>E. 3.2.2</w:t>
      </w:r>
    </w:p>
    <w:p>
      <w:r>
        <w:t>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8C_679/2010 vom 10. November 2010 E. 3.3; vgl. auch SVR 2009 UV Nr. 1 S. 1, 8C_677/2007 E. 2.3 und 2.3.2 mit Hinweisen).</w:t>
      </w:r>
    </w:p>
    <w:p>
      <w:r>
        <w:rPr>
          <w:b/>
        </w:rPr>
        <w:t>E. 4.1</w:t>
      </w:r>
    </w:p>
    <w:p>
      <w:r>
        <w:t>Laut den in allen Teilen zutreffenden Erwägungen der Vorinstanz steht fest, dass im Bereich des Wirbelsäulensegmentes L4/5 degenerative Veränderungen vorlagen, die der vom Beschwerdeführer zitierte Dr. med. W.________, Spezialarzt FMH für Chirurgie, mit Bericht vom 17. November 2003 als pathologischen Vorzustand bezeichnete. Das kantonale Gericht hat weiter richtig dargelegt, dass die Sachverständigen der Klinik Y.________ ihre Schlussfolgerung, das zu diagnostizierende lumboradikuläre Irritations- und sensible Ausfallsyndrom L5 links sei mit überwiegender Wahrscheinlichkeit Folge des Unfalles (Gutachten vom 17. Oktober 2006), nicht überzeugend begründeten. Sie stellten allein auf die Angaben des Versicherten ab, wonach "keine gesundheitlichen Probleme" bestanden hatten. Nach ständiger Rechtsprechung ist die Beweisregel "post hoc ergo propter hoc" im Sinne der Vermutung, Beschwerden müssten unfallbedingt sein, wenn eine vorbestehende Erkrankung der Wirbelsäule bis zum Unfall schmerzfrei war, unfallmedizinisch nicht haltbar (SVR 2008 UV Nr. 11 S. 34, U 290/06 E. 4.2.3) und reicht zur Bejahung des natürlichen Kausalzusammenhangs nicht aus ( BGE 119 V 335 E. 2b/bb S. 341 f.; SVR 2010 UV Nr. 10 S. 40, 8C_626/2009 E. 3.2, 2009 UV Nr. 13 S. 52, 8C-590/2007 E. 7.2.4; vgl. auch BGE 129 V 466 E. 2.2 S. 467 und E. 3 S. 468). Unter diesen Umständen kann zur Beurteilung der Kausalitätsfrage offensichtlich nicht auf das Gutachten der Klinik Y.________ vom 17. Oktober 2006 abgestellt werden.</w:t>
      </w:r>
    </w:p>
    <w:p>
      <w:r>
        <w:rPr>
          <w:b/>
        </w:rPr>
        <w:t>E. 4.2</w:t>
      </w:r>
    </w:p>
    <w:p>
      <w:r>
        <w:t>Gemäss übereinstimmender Auffassung aller anderen, im vorinstanzlichen Entscheid einlässlich zitierten, medizinischen Fachpersonen beinflusste der Treppensturz auf den Rücken - bei Fehlen unfallbedingter Frakturen oder struktureller Läsionen an der Wirbelsäule -die vorbestehenden (angeborenen und degenerativen) Veränderungen im Sinne einer vorübergehenden Verschlimmerung. Der Beschwerdeführer übersieht mit seinen davon abweichenden Vorbringen, dass auch Dr. med. W.________ laut Bericht vom 17. November 2003 nach Diskussion der Frage mit dem behandelnden Rheumatologen zum Schluss gelangte, "diese regrediente morphologische Schmerz-Situation sei aber spätestens per Ende 2003 nicht mehr mit dem Grade der überwiegenden Wahrscheinlichkeit dem zitierten Ereignis anzulasten". Nicht ersichtlich ist weiter, was der Beschwerdeführer aus der Stellungnahme des Dr. med. G.________ vom 8. Dezember 2008 zu seinen Gunsten ableiten will. Dieser Arzt schloss sich explizit der im Aktengutachten vom 21. November 2006 geäusserten Auffassung des Dr. med. S.________ an, angesichts der angeborenen engen Foramina mit Diskusprotrusion L4/5 hätte ein Bagatellereignis irgendwelcher Art früher oder später zu einem Beschwerdeschub geführt. Der Einwand schliesslich, die medizinischen Sachverständigen der Z.________ verneinten in der interdisziplinären Expertise vom 2. September 2009 überhaupt das Vorliegen einer gesundheitlich bedingten Einschränkung der Arbeitsfähigkeit, entbehrt jeglicher Grundlage. Sie gingen vielmehr davon aus, dass die in der Diagnoseliste angeführten Vorzustände im Bereich der LWS zum Zeitpunkt des Unfalles vom 12. Mai 2003 abgeheilt, klinisch in Remission oder völlig asymptomatisch waren und keine Beeinträchtigung der Arbeitsfähigkeit bewirkt hatten. Für den Zeitpunkt der gutachterlichen Exploration war ihrer Beurteilung gemäss die Arbeitsfähigkeit wegen der einem organischen Substrat zuortbaren Lumbalbeschwerden mit ausstrahlenden Schmerzen und Dys-/Hypästhesien im Bereich des linken Beines und Fusses selbst in einer angepassten Tätigkeit (wie im ausgeübten Beruf) eingeschränkt.</w:t>
      </w:r>
    </w:p>
    <w:p>
      <w:r>
        <w:rPr>
          <w:b/>
        </w:rPr>
        <w:t>E. 4.3</w:t>
      </w:r>
    </w:p>
    <w:p>
      <w:r>
        <w:t>Nach dem Gesagten ist mit dem kantonalen Gericht der Einspracheentscheid der Allianz vom 17. Dezember 2009 zu bestätigen.</w:t>
      </w:r>
    </w:p>
    <w:p>
      <w:r>
        <w:rPr>
          <w:b/>
        </w:rPr>
        <w:t>E. 5</w:t>
      </w:r>
    </w:p>
    <w:p>
      <w:r>
        <w:t>Bei der von der Vorinstanz gemäss Art. 61 lit. f ATSG bewilligten unentgeltlichen Verbeiständung für das kantonale Verfahren handelt es sich um ein öffentlich-rechtliches Verhältnis zwischen dem Kanton und dem bestellten Rechtsanwalt (vgl. BGE 132 V 200 E. 5.1.4 S. 205), das einen Honoraranspruch des Rechtsbeistands gegenüber dem Kanton und nicht gegenüber seinem Mandanten begründet. Letzterer ist nicht legitimiert, im eigenen Namen gegen die Höhe der dem Rechtsbeistand für das kantonale Verfahren im Rahmen der unentgeltlichen Verbeiständung zugesprochenen Entschädigung Beschwerde zu führen ( BGE 110 V 360 E. 2 S. 363; SVR 2008 MV Nr. 2 S. 3, M 2/06 E. 5.3.2; vgl. auch Urteil 5A_451/2011 vom 25. Juli 2011 E. 1.2). Auf die Beschwerde ist daher nicht einzutreten, soweit damit eine Erhöhung der dem Rechtsanwalt für das vorinstanzliche Verfahren zugesprochenen Entschädigung verlangt wird.</w:t>
      </w:r>
    </w:p>
    <w:p>
      <w:r>
        <w:rPr>
          <w:b/>
        </w:rPr>
        <w:t>E. 6</w:t>
      </w:r>
    </w:p>
    <w:p>
      <w:r>
        <w:t>Die Voraussetzungen für die Bewilligung der unentgeltlichen Prozessführung und Verbeiständung im bundesgerichtlichen Verfahren ( Art. 64 Abs. 1 und 2 BGG ) sind erfüllt, weshalb das entsprechende Gesuch in der Beschwerde gutzuheissen ist. Der Beschwerdeführer ist indes auf Art. 64 Abs. 4 BGG hinzuweisen, wonach die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