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8C_600/2024 vom 22. Oktober 2024</w:t>
      </w:r>
    </w:p>
    <w:p>
      <w:r>
        <w:t>Bundesgericht, 2024-10-22, DE</w:t>
      </w:r>
    </w:p>
    <w:p>
      <w:r>
        <w:rPr>
          <w:b/>
        </w:rPr>
        <w:t xml:space="preserve">Quelle: </w:t>
      </w:r>
      <w:r>
        <w:t>https://mcp.opencaselaw.ch/entscheid/bger_8C_600_2024</w:t>
      </w:r>
    </w:p>
    <w:p>
      <w:r>
        <w:t>FR: TF 8C_600/2024 du 22 octobre 2024</w:t>
      </w:r>
    </w:p>
    <w:p>
      <w:r>
        <w:t>IT: TF 8C_600/2024 del 22 ottobre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trat mit Urteil vom 9. September 2024 auf die am 9. August 2024 gegen die Verfügung der Beschwerdegegnerin vom 18. November 2022 erhobene Beschwerde nicht ein. Zur Begründung führte es an, ungeachtet dessen, an welchem Tag die mit A-Post versandte Verfügung vom 18. November 2022 beim Beschwerdeführer effektiv eingegangen sei, müsse dies auf alle Fälle früher gewesen sein als - wie vom Beschwerdeführer behauptet - erst am 10. Juli 2024. Damit erweise sich die Beschwerde als verspätet. Ohnehin wäre der Beschwerdeführer spätestens nach Erhalt der ihm eine Hilflosenentschädigung schweren Grades zusprechenden Verfügung vom 10. Januar 2023 nach Treu und Glauben gehalten gewesen, sich über die im dazugehörigen Abklärungsbericht erwähnte Verfügung vom 18. November 2022 zu erkundigen, so er denn diese tatsächlich noch nicht erhalten hätte.</w:t>
      </w:r>
    </w:p>
    <w:p>
      <w:r>
        <w:rPr>
          <w:b/>
        </w:rPr>
        <w:t>E. 3</w:t>
      </w:r>
    </w:p>
    <w:p>
      <w:r>
        <w:t>Darauf geht der Beschwerdeführer nicht hinreichend ein. Allein das Fehlen eines Nachweises des genauen Zustellzeitpunkts zu rügen, reicht nicht aus. Weder zeigt er auf, inwieweit die von der Vorinstanz getroffenen Sachverhaltsfeststellungen zur Fristwahrung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