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8C_5/2025 vom 29. Januar 2025</w:t>
      </w:r>
    </w:p>
    <w:p>
      <w:r>
        <w:t>Bundesgericht, 2025-01-29, DE</w:t>
      </w:r>
    </w:p>
    <w:p>
      <w:r>
        <w:rPr>
          <w:b/>
        </w:rPr>
        <w:t xml:space="preserve">Quelle: </w:t>
      </w:r>
      <w:r>
        <w:t>https://mcp.opencaselaw.ch/entscheid/bger_8C_5_2025</w:t>
      </w:r>
    </w:p>
    <w:p>
      <w:r>
        <w:t>FR: TF 8C_5/2025 du 29 janvier 2025</w:t>
      </w:r>
    </w:p>
    <w:p>
      <w:r>
        <w:t>IT: TF 8C_5/2025 del 29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10. Dezember 2024 den Einspracheentscheid der Beschwerdegegnerin vom 13. Dezember 2023 insoweit, als dem Beschwerdeführer für die Zeit vom 1. Oktober 2022 bis 31. Januar 2023 keine Ergänzungsleistungen zur AHV zugesprochen wurden. Dabei ging es in Auseinandersetzung mit den Parteivorbringen und in Würdigung der Akten von einem im Jahr 2010 erfolgten freiwilligen Vermögensverzicht in der Höhe von Fr. 165'210.70 aus. Diesen reduzierte die Vorinstanz gemäss Art. 17e ELV ab 1. Januar 2012 um jährlich Fr. 10'000.-, was zu einem im Jahr 2022 anrechenbaren Betrag von Fr. 55'210.70 und für das Jahr 2023 zu einem solchen von Fr. 45'210.70 führte. Zusammen mit dem am 1. Januar 2023 vorhanden gewesenen Sparguthaben von Fr. 61'018.- ergebe dies ein anrechenbares Vermögen von Fr. 106'228.70. Damit sei die anspruchsausschliessende Vermögensschwelle gemäss Art. 9a Abs. 1 lit. a ELG , welche für alleinstehende Personen ein Reinvermögen von Fr. 100'000.- vorsehe, zumindest bis Ende Januar 2023 überschritten gewesen.</w:t>
      </w:r>
    </w:p>
    <w:p>
      <w:r>
        <w:rPr>
          <w:b/>
        </w:rPr>
        <w:t>E. 3</w:t>
      </w:r>
    </w:p>
    <w:p>
      <w:r>
        <w:t>Darauf geht der Beschwerdeführer nicht hinreichend ein. Insbesondere legt er nicht näher dar, inwiefern die vorinstanzlichen Feststellungen zur Tilgung der ihm mit Urteil vom 16. Juni 2009 zugesprochenen Forderung von Fr. 404'427.- gegenüber seinem Bruder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Lediglich die eigene Sicht wiederzugeben, reicht vor Bundesgericht nicht aus. So hat das kantonale Gericht etwa zu den zur Verrechnung gebrachten Anwaltskosten von Fr. 4'000.- ausgeführt, diese seien zwar durch den Bruder vorfinanziert worden, aber gemäss dem die Erbstreitigkeit abschliessenden Urteil vom 16. Juni 2009 letztlich auch nur ihm auferlegt worden. Darauf geht der Beschwerdeführer mit keinem Wort ein, indem er lediglich behauptet, die Anwaltskosten seien durch seinen Bruder übernommen worden und somit zur Verrechnung zuzulassen. Nicht anders verhält es sich mit dem Vorbringen, das Darlehen in der Höhe von Fr. 65'450.- sei (durch den Bruder) bereits 1999 samt Zinsen zurückbezahlt worden. Auf die diesbezüglichen vorinstanzlichen Erwägungen geht der Beschwerdeführer ebenfalls nicht ansatzweise ein.</w:t>
      </w:r>
    </w:p>
    <w:p>
      <w:r>
        <w:rPr>
          <w:b/>
        </w:rPr>
        <w:t>E. 4</w:t>
      </w:r>
    </w:p>
    <w:p>
      <w:r>
        <w:t>L 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