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8C_5/2024 vom 6. Februar 2024</w:t>
      </w:r>
    </w:p>
    <w:p>
      <w:r>
        <w:t>Bundesgericht, 2024-02-06, DE</w:t>
      </w:r>
    </w:p>
    <w:p>
      <w:r>
        <w:rPr>
          <w:b/>
        </w:rPr>
        <w:t xml:space="preserve">Quelle: </w:t>
      </w:r>
      <w:r>
        <w:t>https://mcp.opencaselaw.ch/entscheid/bger_8C_5_2024</w:t>
      </w:r>
    </w:p>
    <w:p>
      <w:r>
        <w:t>FR: TF 8C_5/2024 du 6 février 2024</w:t>
      </w:r>
    </w:p>
    <w:p>
      <w:r>
        <w:t>IT: TF 8C_5/2024 del 6 febbraio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16. November 2023 den Einspracheentscheid der Beschwerdegegnerin vom 12. April 2023, worin ein Anspruch des Beschwerdeführers auf Ergänzungsleistungen ab 1. März bis 31. Dezember 2020 infolge Einkommensüberschusses und per 1. Januar 2021 aufgrund der Überschreitung der Vermögensschwelle verneint wurde. Dabei zeigte es in Auseinandersetzung mit den Parteivorbringen und in Würdigung der beigebrachten Beweismittel auf, weshalb die vom Beschwerdeführer geltend gemachten Schulden gegenüber seinem Sohn und einer näher genannten Drittperson von insgesamt Fr. 89'618.- bei der Bedarfsberechnung keine Berücksichtigung finden können.</w:t>
      </w:r>
    </w:p>
    <w:p>
      <w:r>
        <w:rPr>
          <w:b/>
        </w:rPr>
        <w:t>E. 3</w:t>
      </w:r>
    </w:p>
    <w:p>
      <w:r>
        <w:t>Der Beschwerdeführer zeigt nicht auf, inwieweit die von der Vorinstanz dabei getroffenen Sachverhaltsfeststellungen offensichtlich unrichtig (vgl. Art. 97 Abs. 1 BGG ) - mithin willkürlich ( BGE 146 IV 88 E. 1.3.1 f.; 140 III 115 E. 2; je mit Hinweisen) - oder sonstwie bundesrechtswidrig sein sollen. Ebenso wenig tut er dar, die darauf beruhenden Erwägungen würden gegen Bundesrecht verstossen oder einen anderen Beschwerdegrund (vgl. Art. 95 lit. a-e BGG ) setzen. Lediglich seine Sicht der Dinge zu schildern, reicht nicht aus, um namentlich die vorinstanzliche Beweiswürdigung zu erschüttern.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