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8C_5/2018 vom 2. März 2018</w:t>
      </w:r>
    </w:p>
    <w:p>
      <w:r>
        <w:t>Bundesgericht, 2018-03-02, DE</w:t>
      </w:r>
    </w:p>
    <w:p>
      <w:r>
        <w:rPr>
          <w:b/>
        </w:rPr>
        <w:t xml:space="preserve">Quelle: </w:t>
      </w:r>
      <w:r>
        <w:t>https://mcp.opencaselaw.ch/entscheid/bger_8C_5_2018</w:t>
      </w:r>
    </w:p>
    <w:p>
      <w:r>
        <w:t>FR: TF 8C_5/2018 du 2 mars 2018</w:t>
      </w:r>
    </w:p>
    <w:p>
      <w:r>
        <w:t>IT: TF 8C_5/2018 del 2 marzo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 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das kantonale Gericht Bundesrecht verletzt hat, als es die Verfügung der IV-Stelle, mit der diese ein Revisionsgesuch des Versicherten abgewiesen hatte, bestätigt hat.</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Ändert sich der Invaliditätsgrad eines Rentenbezügers erheblich, so wird gemäss Art. 17 ATSG die Rente von Amtes wegen oder auf Gesuch hin für die Zukunft entsprechend erhöht, herabgesetzt oder aufgehoben. Die Frage der wesentlichen Änderung in den tatsächlichen Verhältnissen beurteilt sich im vorliegenden Fall unbestrittenermassen durch Vergleich des Sachverhalts, wie er im Zeitpunkt der Verfügung vom 11. November 2011 bestanden hat, mit demjenigen zur Zeit der streitigen Revisionsverfügung ( BGE 134 V 131 E. 3 S. 132 f.).</w:t>
      </w:r>
    </w:p>
    <w:p>
      <w:r>
        <w:rPr>
          <w:b/>
        </w:rPr>
        <w:t>E. 3.3</w:t>
      </w:r>
    </w:p>
    <w:p>
      <w:r>
        <w:t>Eine Rentenherabsetzung oder Aufhebung im Sinne von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in BGE 136 V 216 nicht publizierte E. 3.2 des Urteils 8C_972/2009, publiziert in: SVR 2011 IV Nr. 1 S. 1 mit Hinweis).</w:t>
      </w:r>
    </w:p>
    <w:p>
      <w:r>
        <w:rPr>
          <w:b/>
        </w:rPr>
        <w:t>E. 4</w:t>
      </w:r>
    </w:p>
    <w:p>
      <w:r>
        <w:t>Der Beschwerdeführer rügt zunächst, die Vorinstanz habe zu Unrecht eine Verletzung seines rechtlichen Gehörs durch die IV-Stelle verneint. Diese sei in der angefochtenen Verfügung ungenügend auf seinen im Vorbescheidverfahren eingebrachten Einwand eingegangen, wonach selbst auf Grundlage des ZMB-Gutachtens von einer Verschlechterung seines Gesundheitszustandes auszugehen sei. Wie das kantonale Gericht indessen überzeugend erwogen hat, antwortete die IV-Stelle darauf durch Hinweis auf jene Passagen im Gutachten, welche ihrer Ansicht nach für einen gleich gebliebenen Gesundheitszustand sprechen würden. Damit ist sein Anspruch auf rechtliches Gehör ausreichend gewahrt worden.</w:t>
      </w:r>
    </w:p>
    <w:p>
      <w:r>
        <w:rPr>
          <w:b/>
        </w:rPr>
        <w:t>E. 5</w:t>
      </w:r>
    </w:p>
    <w:p>
      <w:r>
        <w:t>Das kantonale Gericht hat in umfassender Würdigung der medizinischen Akten, insbesondere aber gestützt auf das Gutachten des ZMB für das Bundesgericht grundsätzlich verbindlich festgestellt, dass sich der Gesundheitszustand des Versicherten im massgebenden Zeitraum nicht wesentlich verändert hat. Was er gegen diese Feststellung vorbringt, vermag sie nicht als bundesrechtswidrig erscheinen zu lassen: Auf ein im Verfahren nach Art. 44 ATSG eingeholtes Gutachten ist rechtsprechungsgemäss abzustellen, wenn nicht konkrete Indizien gegen die Zuverlässigkeit der Expertise sprechen ( BGE 135 V 465 E. 4.4 S. 470). Entgegen den Ausführungen des Versicherten ist es nicht widersprüchlich, aus der Aussage der Gutachter, der Gesundheitszustand sei seit dem Jahre 2001 im Wesentlichen gleich geblieben, den Schluss zu ziehen, eine entsprechende Veränderung sei nach Meinung dieser Experten auch im hier massgebenden Zeitraum seit dem 11. November 2011 nicht eingetreten. Weder der Umstand, dass die Gutachter nicht der Ansicht des behandelnden Psychiaters gefolgt sind, noch die Einschätzung, wonach die klinische Untersuchung wenig aussagekräftig sei, weil der Explorand wesentliche Untersuchungsschritte verweigere oder blockiere, stellen im Weiteren konkrete Indizien dar, welche gegen die Zuverlässigkeit der Expertise sprechen würden. Schliesslich ist es auch nicht willkürlich, aufgrund der expliziten Aussage der Gutachter, der Gesundheitszustand sei im Wesentlichen gleich geblieben, ohne weitere Nachfrage den Schluss zu ziehen, die abweichende Einschätzung der Arbeitsfähigkeit gegenüber den Vorgutachtern beruhe auf einer revisionsrechtlich irrelevanten abweichenden Beurteilung eines im Wesentlichen gleich gebliebenen Gesundheitszustandes. Durfte die Vorinstanz somit ihren Entscheid auf das Gutachten des ZMB stützen, so erübrigen sich auch die beantragten weiteren medizinischen Abklärungen; die Beschwerde des Versicherten ist ohne weiteres abzuweisen.</w:t>
      </w:r>
    </w:p>
    <w:p>
      <w:r>
        <w:rPr>
          <w:b/>
        </w:rPr>
        <w:t>E. 6</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