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8C_5/2012 vom 16. April 2013</w:t>
      </w:r>
    </w:p>
    <w:p>
      <w:r>
        <w:t>Bundesgericht, 2013-04-16, DE</w:t>
      </w:r>
    </w:p>
    <w:p>
      <w:r>
        <w:rPr>
          <w:b/>
        </w:rPr>
        <w:t xml:space="preserve">Quelle: </w:t>
      </w:r>
      <w:r>
        <w:t>https://mcp.opencaselaw.ch/entscheid/bger_8C_5_2012</w:t>
      </w:r>
    </w:p>
    <w:p>
      <w:r>
        <w:t>FR: TF 8C_5/2012 du 16 avril 2013</w:t>
      </w:r>
    </w:p>
    <w:p>
      <w:r>
        <w:t>IT: TF 8C_5/2012 del 16 aprile 2013</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Streitwertgrenze von Fr. 15'000.- ( Art. 51 Abs. 1 lit. a, Art. 85 Abs. 1 lit. b BGG ; erwähntes Urteil 8C_649/2010 E. 1.2) ist erreicht (Streitwertangabe in der Rechtsmittelbelehrung des Entscheids vom 25. November 2011).</w:t>
      </w:r>
    </w:p>
    <w:p>
      <w:r>
        <w:rPr>
          <w:b/>
        </w:rPr>
        <w:t>E. 2</w:t>
      </w:r>
    </w:p>
    <w:p>
      <w:r>
        <w:t>Die Beschwerde in öffentlich-rechtlichen Angelegenheiten kann wegen Rechtsverletzung gemäss Art. 95 und Art. 96 BGG erhoben werden. Der angefochtene Entscheid stützt sich in der Sache auf kantonales Recht. Als Beschwerdegrund kommt im Wesentlichen die Verletzung von Bundesrecht, insbesondere von verfassungsmässigen Rechten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8C_687/2010 vom 5. Januar 2011 E. 3.1 und 8C_690/2010 vom 1. November 2010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3</w:t>
      </w:r>
    </w:p>
    <w:p>
      <w:r>
        <w:t>Streitig und zu prüfen ist, ob die Nichteinreihung des Beschwerdeführers in die Gehaltsklasse 23 der kantonal-bernischen Gehaltsordnung gegen Bundesrecht verstösst.</w:t>
      </w:r>
    </w:p>
    <w:p>
      <w:r>
        <w:rPr>
          <w:b/>
        </w:rPr>
        <w:t>E. 4</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124 II 409 E. 9b S. 426 f. ; 123 I 1 E. 6b S. 8 ; 121 I 102 E. 4a/c S. 104 f.). Nach ständiger Rechtsprechung ist Art. 8 BV (bzw. Art. 4 aBV ) nicht verletzt, wenn Besoldungsunterschiede auf objektive Motive wie Alter, Dienstalter, Erfahrung, Familienlasten, Qualifikation, Art und Dauer der Ausbildung, Arbeitszeit, Leistung, Aufgabenbereich oder übernommene Verantwortlichkeiten zurückzuführen sind ( BGE 131 I 105 E. 3.1 S. 107 ; 123 I 1 E. 6c S. 8, je mit Hinweisen; vgl. auch Urteile 1C_295/2008 vom 29. Mai 2009 E. 2.6 und 2P.95/2001 vom 14. November 2001 E. 4).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 123 I 1 E. 6a S. 7 f., mit Hinweisen). Schliesslich hält auch ein gewisser, aus praktischen Gründen bestehender Schematismus innerhalb der Besoldungsordnung vor dem Rechtsgleichheitsgebot stand, selbst wenn er Grenzfällen nicht immer gerecht zu werden vermag ( BGE 121 I 102 E. 4d/aa S. 107; Urteil 1C_295/2008 vom 29. Mai 2009 E. 2.7).</w:t>
      </w:r>
    </w:p>
    <w:p>
      <w:r>
        <w:rPr>
          <w:b/>
        </w:rPr>
        <w:t>E. 5.1</w:t>
      </w:r>
    </w:p>
    <w:p>
      <w:r>
        <w:t>Das kantonale Gericht hat erwogen, die vorliegend streitige Einreihung der Stelle des Beschwerdeführers in eine Gehaltsklasse richte sich - anders als die Einreihung des Beschwerdeführers in eine Gehaltsstufe innerhalb der Gehaltsklasse - nach den Anforderungen und Belastungen, welche die Funktion mit sich bringe und nicht nach den persönlichen Fähigkeiten des Angestellten. Da zur Ausübung der Funktion des Beschwerdeführers lediglich ein juristischer Hochschulabschluss vorausgesetzt wird, kann er somit vorliegend nichts aus dem Umstand ableiten, dass er Inhaber eines Fürsprecherpatents ist. Diese vorinstanzlichen Erwägungen verstossen entgegen seinen Vorbringen nicht gegen Bundesrecht.</w:t>
      </w:r>
    </w:p>
    <w:p>
      <w:r>
        <w:rPr>
          <w:b/>
        </w:rPr>
        <w:t>E. 5.2</w:t>
      </w:r>
    </w:p>
    <w:p>
      <w:r>
        <w:t>Weiter hat die Vorinstanz in sorgfältiger und ausführlicher Würdigung der Akten, insbesondere aber durch Vergleich der Pflichtenhefte des Beschwerdeführers aus den Jahren 2001, 2004 und 2009 für das Bundesgericht grundsätzlich verbindlich festgestellt, dass es in der Zeit seit 2001 nicht zu einer wesentlichen Zunahme der Anforderungen und Belastungen des Beschwerdeführers gekommen ist. Was er gegen diese Feststellung vorbringt, vermag sie - wie nachstehende Erwägungen zeigen - nicht als offensichtlich unrichtig erscheinen zu lassen.</w:t>
      </w:r>
    </w:p>
    <w:p>
      <w:r>
        <w:rPr>
          <w:b/>
        </w:rPr>
        <w:t>E. 5.3</w:t>
      </w:r>
    </w:p>
    <w:p>
      <w:r>
        <w:t>Entgegen den Vorbringen des Beschwerdeführers durfte die Vorinstanz willkürfrei davon ausgehen, die Verhältnisse an der Arbeitsstelle liessen sich aus den Akten hinreichend erschliessen. Der Beschwerdeführer vermag demgegenüber nicht darzutun, welche neuen Erkenntnisse aus der von ihm beantragten Einvernahme des Z.________ als Zeugen zu gewinnen wären. Somit hat das kantonale Gericht nicht gegen Bundesrecht verstossen, als es in antizipierter Beweiswürdigung auf die Zeugenbefragung verzichtete.</w:t>
      </w:r>
    </w:p>
    <w:p>
      <w:r>
        <w:rPr>
          <w:b/>
        </w:rPr>
        <w:t>E. 5.4</w:t>
      </w:r>
    </w:p>
    <w:p>
      <w:r>
        <w:t>Der Beschwerdeführer macht geltend, ab 2004 neu auch für die Koordination der Einhaltung der strafverfahrensrechtlichen Garantien der EMRK und der Bundesverfassung zuständig gewesen zu sein, und damit eine gewisse fachliche Führungsaufgabe übernommen zu haben. Wie weit dieses Vorbringen zutrifft, kann vorliegend offenbleiben, da selbst eine fachliche Führung in einem zwar zweifellos wichtigen, aber doch eng beschränkten Bereich noch nicht auf eine wesentliche Zunahme der Anforderungen und Belastungen des Beschwerdeführers schliessen lässt.</w:t>
      </w:r>
    </w:p>
    <w:p>
      <w:r>
        <w:rPr>
          <w:b/>
        </w:rPr>
        <w:t>E. 5.5</w:t>
      </w:r>
    </w:p>
    <w:p>
      <w:r>
        <w:t>Ebenfalls nichts zu Gunsten des Beschwerdeführers ableiten lässt sich aus der Tatsache, dass ein besonders schwieriger Fall gerade ihm zur Bearbeitung zugeteilt wurde. Der normale Gang der Verwaltung bringt es mit sich, dass einmal schwierigere, einmal weniger komplexe Dossier zu bearbeiten sind. Dabei erscheint es als sachgerecht, wenn die besonders komplexen Arbeiten den fähigsten und erfahrensten Mitarbeitern zugeteilt werden. Daraus lässt sich aber nicht ableiten, ein solcher besonders fähiger und erfahrener Mitarbeiter sei von Verfassungs wegen in eine höhere Gehaltsklasse als die gewöhnlichen Mitarbeiter einzureihen. Die Vorinstanz konnte willkürfrei davon ausgehen, den besonderen Fähigkeiten und Erfahrungen des Beschwerdeführers sei bei der individuellen Leistungs- und Verhaltensbeurteilung (und damit allenfalls bei der Bemessung des Gehaltsaufstieges innerhalb der Gehaltsklasse) und nicht bei der Einreihung in die Gehaltsklasse Rechnung zu tragen.</w:t>
      </w:r>
    </w:p>
    <w:p>
      <w:r>
        <w:rPr>
          <w:b/>
        </w:rPr>
        <w:t>E. 5.6</w:t>
      </w:r>
    </w:p>
    <w:p>
      <w:r>
        <w:t>Im Weiteren ist es üblich, dass sich Mitarbeiter einer Verwaltungseinheit gegenseitig mit fachlichem Rat zur Seite stehen. Dabei ist es auch nicht ungewöhnlich, wenn eine höhergestellte Person bei einem lohnmässig niedriger eingestuften Mitarbeiter um Rat sucht. Somit kann aus dem Umstand, dass der Beschwerdeführer regelmässig von anderen Mitarbeitern, welche ebenfalls in der Gehaltsklasse 22 eingereiht sind, um Rat gefragt wurde, nicht abgeleitet werden, er sei deshalb in eine höhere Gehaltsklasse einzureihen.</w:t>
      </w:r>
    </w:p>
    <w:p>
      <w:r>
        <w:rPr>
          <w:b/>
        </w:rPr>
        <w:t>E. 5.7</w:t>
      </w:r>
    </w:p>
    <w:p>
      <w:r>
        <w:t>Ebenfalls nicht offensichtlich unrichtig ist die Feststellung des kantonalen Gerichts, die Aufgaben, welche der Beschwerdeführer wahrzunehmen hatte, hätten sich wesentlich von jenen der Verwaltungsjuristinnen und -juristen unterschieden. Daran ändert auch der Umstand nichts, dass er nach eigenen Angaben in Fällen von Steuerhinterziehung die Steuerverwaltung vor allen Instanzen zu vertreten hatte. Jedenfalls mit Blick auf den Schematismus, welcher aus praktischen Gründen jeder Besoldungsordnung eigen ist (vgl. E. 4 hiervor), verstösst es nicht gegen Bundesrecht, die Redaktion von Beschwerdeentscheiden höher zu bewerten als die Tätigkeit des Beschwerdeführers.</w:t>
      </w:r>
    </w:p>
    <w:p>
      <w:r>
        <w:rPr>
          <w:b/>
        </w:rPr>
        <w:t>E. 5.8</w:t>
      </w:r>
    </w:p>
    <w:p>
      <w:r>
        <w:t>Vorinstanz und Verwaltung haben demnach nicht gegen Bundesrecht verstossen, als sie eine Einreihung des Beschwerdeführers in eine höhere Gehaltsklasse ablehnten, auch wenn im Rahmen des der Behörde zustehenden grossen Spielraums eine Höhereinreihung allenfalls zulässig gewesen wäre. Da es im Jahre 2004 in Folge des von ihm erwähnten "Vorstosses 2004" nicht zu einer Änderung der Rechte und Pflichten des Beschwerdeführers kam, kann offenbleiben, ob das damalige Verfahren zu Recht nicht durch eine formelle Verfügung abgeschlossen wurde. Die Beschwerde ist somit abzuweisen.</w:t>
      </w:r>
    </w:p>
    <w:p>
      <w:r>
        <w:rPr>
          <w:b/>
        </w:rPr>
        <w:t>E. 6</w:t>
      </w:r>
    </w:p>
    <w:p>
      <w:r>
        <w:t>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