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8C_59/2025 vom 6. Februar 2025</w:t>
      </w:r>
    </w:p>
    <w:p>
      <w:r>
        <w:t>Bundesgericht, 2025-02-06, DE</w:t>
      </w:r>
    </w:p>
    <w:p>
      <w:r>
        <w:rPr>
          <w:b/>
        </w:rPr>
        <w:t xml:space="preserve">Quelle: </w:t>
      </w:r>
      <w:r>
        <w:t>https://mcp.opencaselaw.ch/entscheid/bger_8C_59_2025</w:t>
      </w:r>
    </w:p>
    <w:p>
      <w:r>
        <w:t>FR: TF 8C_59/2025 du 6 février 2025</w:t>
      </w:r>
    </w:p>
    <w:p>
      <w:r>
        <w:t>IT: TF 8C_59/2025 del 6 febbraio 2025</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Urteil vom 11. Dezember 2024 in einlässlicher Auseinandersetzung mit den Parteivorbringen und in Würdigung der Akten eingehend dar, weshalb der Einspracheentscheid der Beschwerdegegnerin vom 25. April 2022, worin der Fallabschluss per 31. Januar 2022, die Einstellung der Leistungen in Bezug auf die Beschwerden am rechten Ellbogen, am rechten Daumen, am rechten Handgelenk, am rechten Knie sowie an der Lendenwirbelsäule und die Verneinung eines Anspruchs auf weitere Geldleistungen bezüglich der Beschwerden an der Halswirbelsäule bestätigt wurden, rechtens ist.</w:t>
      </w:r>
    </w:p>
    <w:p>
      <w:r>
        <w:rPr>
          <w:b/>
        </w:rPr>
        <w:t>E. 3</w:t>
      </w:r>
    </w:p>
    <w:p>
      <w:r>
        <w:t>Der Beschwerdeführer zeigt nicht auf, inwieweit die von der Vorinstanz in diesem Zusammenhang getroffenen Sachverhaltsfeststellungen im Sinne von Art. 97 Abs. 2 BGG unrichtig sein und die darauf beruhenden Erwägungen gegen Bundesrecht verstossen oder einen anderen Beschwerdegrund (vgl. Art. 95 lit. a-e BGG ) gesetzt haben sollen. Er geht in seinen zwei undatierten Eingaben (Postaufgabedatum: 25. Januar 2025), in denen er um Überprüfung des angefochtenen Urteils ersucht, nicht einmal im Ansatz auf die Erwägungen des kantonalen Gerichts ein.</w:t>
      </w:r>
    </w:p>
    <w:p>
      <w:r>
        <w:rPr>
          <w:b/>
        </w:rPr>
        <w:t>E. 4</w:t>
      </w:r>
    </w:p>
    <w:p>
      <w:r>
        <w:t>Der Begründungsmangel ist somit offensichtlich, weshalb im vereinfachten Verfahren nach Art. 108 Abs. 1 lit. b BGG auf das Rechtsmittel nicht einzutreten ist.</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