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59/2023 vom 12. September 2023</w:t>
      </w:r>
    </w:p>
    <w:p>
      <w:r>
        <w:t>Bundesgericht, 2023-09-12, FR</w:t>
      </w:r>
    </w:p>
    <w:p>
      <w:r>
        <w:rPr>
          <w:b/>
        </w:rPr>
        <w:t xml:space="preserve">Quelle: </w:t>
      </w:r>
      <w:r>
        <w:t>https://mcp.opencaselaw.ch/entscheid/bger_8C_59_2023</w:t>
      </w:r>
    </w:p>
    <w:p>
      <w:r>
        <w:t>FR: TF 8C 59/2023 du 12 septembre 2023</w:t>
      </w:r>
    </w:p>
    <w:p>
      <w:r>
        <w:t>IT: TF 8C 59/2023 del 12 settembre 2023</w:t>
      </w:r>
    </w:p>
    <w:p>
      <w:pPr>
        <w:pStyle w:val="Heading2"/>
      </w:pPr>
      <w:r>
        <w:t>Regeste</w:t>
      </w:r>
    </w:p>
    <w:p>
      <w:r>
        <w:t>Assurance-accidents | Assurance-accidents</w:t>
      </w:r>
    </w:p>
    <w:p>
      <w:pPr>
        <w:pStyle w:val="Heading2"/>
      </w:pPr>
      <w:r>
        <w:t>Erwägungen</w:t>
      </w:r>
    </w:p>
    <w:p>
      <w:r>
        <w:rPr>
          <w:b/>
        </w:rPr>
        <w:t>E. 1</w:t>
      </w:r>
    </w:p>
    <w:p>
      <w:r>
        <w:t>Le Tribunal fédéral examine d'office ( art. 29 al. 1 LTF ) et librement la recevabilité des recours qui lui sont soumis ( ATF 149 IV 9 consid. 2).</w:t>
      </w:r>
    </w:p>
    <w:p>
      <w:r>
        <w:rPr>
          <w:b/>
        </w:rPr>
        <w:t>E. 1.1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l'arrêt attaqué s'analyse comme une décision de renvoi qui, en tant qu'elle oblige la CNA à procéder à l'examen du droit à une éventuelle rente d'invalidité de l'intimé, en particulier en tenant compte d'une diminution de rendement de 20 % dans une activité adaptée aux limitations d'ordre neurologique et neuropsychologique, constitue une décision incidente car elle ne met pas fin à la procédure ( ATF 140 V 282 consid. 2; 138 I 143 consid. 1.2). Dès lors que l'arrêt cantonal contient une injonction d'ordre matériel - imposant à la CNA de tenir compte d'une diminution de rendement de 20 % dans une activité adaptée -, le renvoi de la cause à la recourante est susceptible de lui causer un préjudice irréparable au sens de l' art. 93 al. 1 let. a LTF ( ATF 140 V 282 ; arrêt 8C_611/2022 du 14 avril 2023 consid. 1.2). La voie du recours en matière de droit public contre l'arrêt du 13 décembre 2022 est donc ouverte.</w:t>
      </w:r>
    </w:p>
    <w:p>
      <w:r>
        <w:rPr>
          <w:b/>
        </w:rPr>
        <w:t>E. 1.3</w:t>
      </w:r>
    </w:p>
    <w:p>
      <w:r>
        <w:t>Pour le surplus, le recours est dirigé contre un arrêt rendu en matière de droit public (art. 82 ss. LTF) par une autorité cantonale de dernière instance ( art. 86 al. 1 let . d LTF). Il a été déposé dans le délai ( art. 100 LTF ) et la forme ( art. 42 LTF ) prévus par la loi. Il est donc recevable.</w:t>
      </w:r>
    </w:p>
    <w:p>
      <w:r>
        <w:rPr>
          <w:b/>
        </w:rPr>
        <w:t>E. 2.1</w:t>
      </w:r>
    </w:p>
    <w:p>
      <w:r>
        <w:t>La recourante conteste devoir prendre en considération une diminution de rendement de 20 % de l'intimé, en raison des troubles neurologiques et neuropsychologiques, pour déterminer son droit à une rente d'invalidité. Elle soutient que les premiers juges ont reconnu à tort, sur ce point, une pleine valeur probante à l'expertise.</w:t>
      </w:r>
    </w:p>
    <w:p>
      <w:r>
        <w:rPr>
          <w:b/>
        </w:rPr>
        <w:t>E. 2.2</w:t>
      </w:r>
    </w:p>
    <w:p>
      <w:r>
        <w:t>Dans la procédure de recours concernant l'octroi ou le refus de prestations en espèces de l'assurance-accidents, le Tribunal fédéral n'est pas lié par les faits établis par l'autorité précédente (art. 97 al. 2 et 105 al. 3 LTF).</w:t>
      </w:r>
    </w:p>
    <w:p>
      <w:r>
        <w:rPr>
          <w:b/>
        </w:rPr>
        <w:t>E. 2.3</w:t>
      </w:r>
    </w:p>
    <w:p>
      <w:r>
        <w:t>Le Tribunal fédéral applique le droit d'office ( art. 106 al. 1 LTF ), sous réserve des exigences de motivation figurant à l' art. 106 al. 2 LTF . A moins que la décision attaquée contienne des vices juridiques manifestes, il s'en tient aux arguments juridiques soulevés dans le recours (cf. art. 42 al. 1 et 2 LTF ; ATF 135 II 384 consid. 2.2.1; 134 III 102 consid. 1.1).</w:t>
      </w:r>
    </w:p>
    <w:p>
      <w:r>
        <w:rPr>
          <w:b/>
        </w:rPr>
        <w:t>E. 3.1</w:t>
      </w:r>
    </w:p>
    <w:p>
      <w:r>
        <w:t>La cour cantonale a correctement exposé les dispositions légales et les principes jurisprudentiels régissant le droit aux prestations de l'assurance-accidents ( art. 6 al. 1 LAA ,), le droit à une rente d'invalidité ( art. 18 LAA ), ainsi que la jurisprudence en matière d'appréciation de rapports médicaux ( ATF 134 V 231 consid. 5.1; 125 V 351 consid. 3), de sorte qu'on peut y renvoyer, avec les précisions suivantes.</w:t>
      </w:r>
    </w:p>
    <w:p>
      <w:r>
        <w:rPr>
          <w:b/>
        </w:rPr>
        <w:t>E. 3.2</w:t>
      </w:r>
    </w:p>
    <w:p>
      <w:r>
        <w:t>S'agissant de la valeur probante d'une expertise judiciaire,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 citée).</w:t>
      </w:r>
    </w:p>
    <w:p>
      <w:r>
        <w:rPr>
          <w:b/>
        </w:rPr>
        <w:t>E. 4.1</w:t>
      </w:r>
    </w:p>
    <w:p>
      <w:r>
        <w:t>Les experts du CEML ont retenu à titre de diagnostics avec effet sur la capacité de travail, une fatigue d'origine neurologique dans un contexte séquellaire de status post-neuroborréliose avec méningo-encéphalite et vasculite concomitante avec infarctus multiples des deux côtés dès mi-août ainsi qu'un syndrome de fatigue chronique. Sur le plan neurologique et neuropsychologique, en tenant compte des limitations fonctionnelles, il existait une légère baisse de rendement consécutive aux séquelles de la neuroborréliose et probablement aux conséquences de l'éthylisme chronique. Sous le chapitre de la motivation interdisciplinaire de l'incapacité de travail, ils ont indiqué qu'une activité adaptée aux limitations fonctionnelles ostéo-articulaires était possible sur le plan neurologique, rhumatologique et de la médecine interne "avec une baisse de rendement de 20 % motivée par l'atteinte neurologique à 100 % horaire depuis novembre 2014". L'experte neurologue a précisé que l'atteinte neurologique et neuropsychologique due à la neuroborréliose était stabilisée depuis 2014 et correspondait à une discrète séquelle neurologique (légère hyperréflexie tricipitale et achilléenne relative droite) non handicapante; de possibles séquelles neuropsychologiques ne pouvaient être objectivées en raison de la collaboration insuffisante de l'expertisé. En particulier, une aggravation du tableau cognitif avait été constatée par l'experte neuropsychologue qui ne s'expliquait pas par les éléments médicaux. En raison des inconsistances entre les différentes évaluations et au sein des domaines cognitifs évalués, des résultats aux différents éléments de validation des performances, un défaut d'effort avec majoration des symptômes avait été relevé. L'experte a conclu que les éventuels troubles et leur intensité en lien avec l'AVC ou la neuroborréliose ne pouvaient pas être évoqués, de surcroît chez un patient qui présentait une thymie abaissée, qui avait une consommation excessive d'alcool et qui était cognitivement déconditionné.</w:t>
      </w:r>
    </w:p>
    <w:p>
      <w:r>
        <w:rPr>
          <w:b/>
        </w:rPr>
        <w:t>E. 4.2</w:t>
      </w:r>
    </w:p>
    <w:p>
      <w:r>
        <w:t>Avec la recourante, force est d'admettre que la baisse de rendement retenue par les experts apparaît en contradiction avec les résultats des examens cliniques, la validation des symptômes et la cohérence du tableau. En effet, s'agissant de la (seule) séquelle neurologique (légère hyperréflexie tricipitale et achilléenne relative droite), elle n'a pas d'influence sur la capacité de travail. Quant à la fatigue, elle est d'étiologie multifactorielle, n'a pas pu être validée par les examens neuropsychologiques et, de surcroît, ne s'explique pas par les antécédents médicaux. Comme l'a à juste titre évoqué le docteur B.________ dans son appréciation du 12 janvier 2022, la baisse de rendement attestée par les experts se fonde ainsi sur une hypothèse médico-théorique, qui prend en compte que l'intimé a présenté une neuroborréliose et des AVC dans le passé, sachant que de telles pathologies peuvent engendrer des pertes cognitives. Cela ne suffit toutefois pas pour établir, au degré de la vraisemblance prépondérante applicable en droit des assurances sociales ( ATF 126 V 353 consid. 5b; 125 V 195 consid. 2), l'existence d'une incapacité de travail au-delà du 30 novembre 2014 en lien avec la morsure de tique en 2008, qui a ensuite déclenché une neuroborréliose.</w:t>
      </w:r>
    </w:p>
    <w:p>
      <w:r>
        <w:rPr>
          <w:b/>
        </w:rPr>
        <w:t>E. 5</w:t>
      </w:r>
    </w:p>
    <w:p>
      <w:r>
        <w:t>Au vu de ce qui précède, la CNA était fondée à retenir qu'il n'existait plus, au-delà du 30 novembre 2014, une incapacité de travail de l'intimé en lien avec la morsure de tique en 2008. Le recours doit donc être admis, l'arrêt cantonal annulé et la décision litigieuse confirmée en tant qu'elle ne reconnaît pas le droit de l'intimé à une rente d'invalidité. L'intimé, qui succombe,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