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59/2008 vom 3. September 2008</w:t>
      </w:r>
    </w:p>
    <w:p>
      <w:r>
        <w:t>Bundesgericht, 2008-09-03, DE</w:t>
      </w:r>
    </w:p>
    <w:p>
      <w:r>
        <w:rPr>
          <w:b/>
        </w:rPr>
        <w:t xml:space="preserve">Quelle: </w:t>
      </w:r>
      <w:r>
        <w:t>https://mcp.opencaselaw.ch/entscheid/bger_8C_59_2008</w:t>
      </w:r>
    </w:p>
    <w:p>
      <w:r>
        <w:t>FR: TF 8C 59/2008 du 3 septembre 2008</w:t>
      </w:r>
    </w:p>
    <w:p>
      <w:r>
        <w:t>IT: TF 8C 59/2008 del 3 settembre 2008</w:t>
      </w:r>
    </w:p>
    <w:p>
      <w:pPr>
        <w:pStyle w:val="Heading2"/>
      </w:pPr>
      <w:r>
        <w:t>Regeste</w:t>
      </w:r>
    </w:p>
    <w:p>
      <w:r>
        <w:t>Unfallversicherung | Unfallversicherung</w:t>
      </w:r>
    </w:p>
    <w:p>
      <w:pPr>
        <w:pStyle w:val="Heading2"/>
      </w:pPr>
      <w:r>
        <w:t>Erwägungen</w:t>
      </w:r>
    </w:p>
    <w:p>
      <w:r>
        <w:rPr>
          <w:b/>
        </w:rPr>
        <w:t>E. 2</w:t>
      </w:r>
    </w:p>
    <w:p>
      <w:r>
        <w:t>Beim angefochtenen Rückweisungsentscheid handelt es sich um einen Vor- oder Zwischenentscheid im Sinne der Art. 92 f. BGG ( BGE 133 V 477 E. 4.2 S. 481 f. und 645 E. 1 S. 646 f.). Gegen selbstständig eröffnete Vor- und Zwischenentscheide ist die Beschwerde gemäss Art. 92 BGG zulässig, soweit die Zuständigkeit des vorinstanzlichen Gerichts oder die Beurteilung von Ausstandsbegehren gerügt wird (Abs. 1); diese Entscheide können später nicht mehr angefochten werden (Abs. 2). Im Übrigen ist die Beschwerde gegen andere selbstständig eröffnete Vor- und Zwischenentscheide laut Art. 93 Abs. 1 BGG zulässig, wenn - alternativ -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3.1</w:t>
      </w:r>
    </w:p>
    <w:p>
      <w:r>
        <w:t>Der zweite Tatbestand spielt hier keine Rolle. Weder ein Urteil des Bundesgerichts über die Höhe der Parteientschädigung für das kantonale Verfahren noch eine Verpflichtung der Vorinstanz, vor Ausfällung ihres Entscheids eine öffentliche Gerichtsverhandlung im Sinne von Art. 6 Ziff. 1 EMRK durchzuführen, würde sofort zu einem Endentscheid in der Sache führen.</w:t>
      </w:r>
    </w:p>
    <w:p>
      <w:r>
        <w:rPr>
          <w:b/>
        </w:rPr>
        <w:t>E. 3.2</w:t>
      </w:r>
    </w:p>
    <w:p>
      <w:r>
        <w:t>Ein im Sinne von Art. 93 Abs. 1 lit. a BGG nicht wieder gutzumachender Nachteil ist rechtlicher Natur und auch mit einem für die Beschwerde führende Partei günstigen Endentscheid nicht oder nicht vollständig behebbar ( BGE 133 V 645 E. 2.1 S. 647 mit Hinweisen). Die Rückweisung der Sache an den Unfallversicherer zu ergänzender oder weiterer Abklärung und neuer Entscheidung bewirkt in der Regel keinen im Sinne von Art. 93 Abs. 1 lit. a BGG nicht wieder gutzumachenden Nachteil ( BGE 133 V 477 E. 5.2.1 und 5.2.2 S. 483 f. und 645 E. 2.1 S. 647). Dies gilt sowohl hinsichtlich der Entscheidfindung ohne vorgängige Durchführung einer öffentlichen Verhandlung nach Art. 6 Ziff. 1 EMRK als auch hinsichtlich der Regelung der Kosten- und Entschädigungsfolgen in einem Rückweisungsentscheid ( BGE 133 V 645 E. 2.1 S. 647).</w:t>
      </w:r>
    </w:p>
    <w:p>
      <w:r>
        <w:rPr>
          <w:b/>
        </w:rPr>
        <w:t>E. 4</w:t>
      </w:r>
    </w:p>
    <w:p>
      <w:r>
        <w:t>Die erhobene Beschwerde ist demnach unzulässig. Mit Bezug auf die Höhe der Parteientschädigung im vorinstanzlichen Verfahren wird das im Rückweisungsentscheid vom 28. November 2007 Gesagte durch Beschwerde gegen den Endentscheid anfechtbar sein ( Art. 93 Abs. 3 BGG ), während die Durchführung einer öffentlichen Verhandlung im Sinne von Art. 6 Ziff. 1 EMRK gegebenenfalls in einem weiteren Gerichtsverfahren erneut beantragt werden kann. Über die Verteilung der Gerichts- und Parteikosten könnte im Übrigen ohnehin nicht befunden werden, ohne vorfrageweise die Begründetheit der Rückweisung zu prüfen, was indessen unzulässig ist ( BGE 133 V 645 E. 2.1 S. 647 mit Hinweisen). Gelangt der Streit nicht mehr vor das kantonale Gericht, weil die SUVA auf Grund der Ergebnisse ihrer weiteren Abklärungen voll zu Gunsten des Versicherten entscheidet, kann gegen deren Verfügung oder Einspracheentscheid direkt Beschwerde in öffentlich-rechtlichen Angelegenheiten beim Bundesgericht erhoben und die für das kantonale Beschwerdeverfahren zugesprochene Parteientschädigung gerügt werden (vgl. BGE 133 V 645 E. 2.2 S. 647 f. mit Hinweis).</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