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599/2023 vom 19. Februar 2024</w:t>
      </w:r>
    </w:p>
    <w:p>
      <w:r>
        <w:t>Bundesgericht, 2024-02-19, DE</w:t>
      </w:r>
    </w:p>
    <w:p>
      <w:r>
        <w:rPr>
          <w:b/>
        </w:rPr>
        <w:t xml:space="preserve">Quelle: </w:t>
      </w:r>
      <w:r>
        <w:t>https://mcp.opencaselaw.ch/entscheid/bger_8C_599_2023</w:t>
      </w:r>
    </w:p>
    <w:p>
      <w:r>
        <w:t>FR: TF 8C 599/2023 du 19 février 2024</w:t>
      </w:r>
    </w:p>
    <w:p>
      <w:r>
        <w:t>IT: TF 8C 599/2023 del 19 febbraio 2024</w:t>
      </w:r>
    </w:p>
    <w:p>
      <w:pPr>
        <w:pStyle w:val="Heading2"/>
      </w:pPr>
      <w:r>
        <w:t>Regeste</w:t>
      </w:r>
    </w:p>
    <w:p>
      <w:r>
        <w:t>Sozialhilfe (Grundbedarf; Wohnkosten)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(vgl. BGE 148 V 114 E. 3.1 mit Hinweisen), ist demnach anhand der massgeblichen Erwägungen des kantonalen Urteils klar und detailliert darzulegen, welche verfassungsmässigen Rechte und inwiefern sie durch dieses Urteil verletzt sein sollen.</w:t>
      </w:r>
    </w:p>
    <w:p>
      <w:r>
        <w:rPr>
          <w:b/>
        </w:rPr>
        <w:t>E. 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3</w:t>
      </w:r>
    </w:p>
    <w:p>
      <w:r>
        <w:t>Streitig und zu prüfen ist, ob die Vorinstanz Verfassungsrecht verletzte, indem sie den Anspruchsbeginn auf Sozialhilfe nicht wie vom Beschwerdeführer gefordert auf den 15. Oktober 2021 (Anmeldedatum), sondern auf den 1. Januar 2022 festlegte und die anrechenbaren Wohnkosten auf monatlich Fr. 525.- und den Grundbedarf auf Fr. 770.- im Monat begrenzte.</w:t>
      </w:r>
    </w:p>
    <w:p>
      <w:r>
        <w:rPr>
          <w:b/>
        </w:rPr>
        <w:t>E. 4.1</w:t>
      </w:r>
    </w:p>
    <w:p>
      <w:r>
        <w:t>Hinsichtlich des Anspruchsbeginns ging das kantonale Gericht von einer Mitwirkungspflicht des Beschwerdeführers bei der Ermittlung des zur Prüfung des Anspruchs notwendigen Sachverhalts aus. Darunter falle, dass bei der Anmeldung sämtliche Tätigkeiten anzugeben seien, welche üblicherweise entlöhnt würden, so insbesondere die vorliegend verschwiegene Geschäftsführerfunktion bei der B.________ GmbH. Denn dabei handle es sich um Umstände, mit denen die Sozialhilfebehörde nicht rechnen müsse. Nur so sei sie in die Lage versetzt, die Bedürftigkeit sachgerecht zu prüfen. Solange dies nicht der Fall sei, fehle es am anspruchsbegründenden Bedürftigkeitsnachweis im Sinne der kantonalen Sozialhilfegesetzgebung, für welchen die um Leistungen ersuchende Person beweisbelastet sei (mit Hinweis auf Art. 8 ZGB ). Da die Beschwerdegegnerin nicht vor dem 1. Januar 2022 Kenntnis von dieser Tätigkeit erhalten hatte, sei die Leistungsverweigerung für die davor liegende Zeit mangels Bedürftigkeitsnachweises nicht zu beanstanden.</w:t>
      </w:r>
    </w:p>
    <w:p>
      <w:r>
        <w:rPr>
          <w:b/>
        </w:rPr>
        <w:t>E. 4.2</w:t>
      </w:r>
    </w:p>
    <w:p>
      <w:r>
        <w:t>Was der Beschwerdeführer dagegen vorbringt, verfängt nicht. Soweit er insbesondere betont, mit der Aufgabe der Geschäftsführertätigkeit per 31. Dezember 2021 keinen Zugriff mehr auf die von der Beschwerdegegnerin später am 11. Januar respektive am 11. Februar 2022 eingeforderten Buchhaltungsunterlagen gehabt zu haben, verschliesst sich dem Gericht, was er daraus für die davor liegende Zeit zu seinen Gunsten ableiten will. Zwar diskutierte das kantonale Gericht im angefochtenen Entscheid auch die Geschehnisse nach dem 1. Januar 2022. Indessen zog es daraus hinsichtlich des Anspruchsbeginns keine weitergehenden für den Beschwerdeführer nachteiligen Schlüsse. Vielmehr vertrat es die Ansicht, da der Leistungsanspruch für die Zeit nach dem 1. Januar 2023 im verwaltungsinternen Rekursverfahren nicht Streitthema gewesen sei, seien ihm diesbezüglich die Hände gebunden. Ohnehin ist ein Rücktritt als Geschäftsführer aus der Unternehmung nicht automatisch gleichzusetzen mit der Unmöglichkeit, deren Buchhaltung einzureichen. Weder macht der Beschwerdeführer geltend, er habe bei der B.________ GmbH erfolglos um Zustellung dieser Unterlagen ersucht, noch ist Derartiges den Akten zu entnehmen. Betreffend die davor liegende Zeit hielt das kantonale Gericht unter anderem fest, spätestens mit der am 10. November 2021 erfolgten Aufforderung, näher zu belegen, wie der Lebensunterhalt bestritten werde, hätte der Beschwerdeführer auch über seine Geschäftsführertätigkeit berichten müssen. Dies gelte ungeachtet dessen, ob er diese - wie von ihm geltend gemacht - unentgeltlich ausübte oder nicht. Zu diesem Zeitpunkt sei er gemäss eigenen Angaben noch als Geschäftsführer tätig gewesen. Inwiefern diese Feststellung auf einer willkürlichen Beweiswürdigung beruhen oder sonst wie bundesrechtswidrig sein oder gegen verfassungsmässige Rechte verstossen soll, legt der Beschwerdeführer nicht dar.</w:t>
      </w:r>
    </w:p>
    <w:p>
      <w:r>
        <w:rPr>
          <w:b/>
        </w:rPr>
        <w:t>E. 5.1</w:t>
      </w:r>
    </w:p>
    <w:p>
      <w:r>
        <w:t>In einem weiteren Schritt prüfte das kantonale Gericht die Wohnsituation des Beschwerdeführers und wertete diese als "familienähnliche Wohn- und Lebensgemeinschaft", was in Anwendung der vom kantonalen Departement des Innern gestützt auf § 25 Abs. 3 SHEG/SH und § 5 SHEV/SH erlassenen Richtlinien für die Bemessung der materiellen Hilfe zu den Beträgen führte, welche es für anrechenbar erachtete.</w:t>
      </w:r>
    </w:p>
    <w:p>
      <w:r>
        <w:rPr>
          <w:b/>
        </w:rPr>
        <w:t>E. 5.2</w:t>
      </w:r>
    </w:p>
    <w:p>
      <w:r>
        <w:t>Der Beschwerdeführer legt wiederum nicht dar, inwieweit die dabei vorgenommene Würdigung der in den Akten liegenden Beweismittel und der Parteivorbringen willkürlich sein soll. Soweit er in diesem Zusammenhang neue Beweismittel beibringt, können diese keine Berücksichtigung finden. Aufgrund der im vorinstanzlichen Verfahren geltenden Mitwirkungspflicht wäre er gehalten gewesen, diese bereits dort einzureichen. Allein der Umstand, dass das kantonale Gericht seine Rechtsauffassung nicht geteilt hat, begründet keine Möglichkeit, vor Bundesgericht neue Beweismittel einzureichen ( Art. 99 BGG ; BGE 143 V 19 E. 1.2; siehe auch Urteil 8C_167/2023 vom 17. März 2023 E. 1). Im Übrigen hat die Vorinstanz zwar möglicherweise unzutreffende Feststellungen zur räumlichen Nähe von Wohn- und Studienort getroffen, ohne diesen indessen entscheidwesentliche Bedeutung beizumessen. Vielmehr nannte sie die von ihr festgestellte Entfernung des Studienorts zur Wohnadresse als eines von mehreren Indizien, welche gesamthaft gesehen auf ein grosses Gewicht der familiären Beziehung bei der Wahl des Wohnortes hindeuten: Damit scheitert dieses Vorbringen an Art. 97 Abs. 1 letzter Teilsatz BGG, wonach eine offensichtlich unrichtige Feststellung des Sachverhalts erst dann zu einer Korrektur des vorinstanzlichen Urteils führen kann, wenn dieser Mangel für den Ausgang des Verfahrens auch entscheidend war.</w:t>
      </w:r>
    </w:p>
    <w:p>
      <w:r>
        <w:rPr>
          <w:b/>
        </w:rPr>
        <w:t>E. 6</w:t>
      </w:r>
    </w:p>
    <w:p>
      <w:r>
        <w:t>Zusammengefasst ist nichts vorgetragen, was zu einer Aufhebung des vorinstanzlichen Urteils führen könnte. Die Beschwerde erweist sich insgesamt als offensichtlich unbegründet, womit sie im vereinfachten Verfahren nach Art. 109 Abs. 2 lit. a BGG ohne Durchführung eines Schriftenwechsels, mit summarischer Begründung und unter Hinweis auf den kantonalen Gerichtsentscheid ( Art. 109 Abs. 3 BGG ) erledigt werden kann.</w:t>
      </w:r>
    </w:p>
    <w:p>
      <w:r>
        <w:rPr>
          <w:b/>
        </w:rPr>
        <w:t>E. 7</w:t>
      </w:r>
    </w:p>
    <w:p>
      <w:r>
        <w:t>Dem Ausgang des Verfahrens entsprechend hat der Beschwerdeführer die Gerichtskosten zu tragen ( Art. 66 Abs. 1 BGG ). Dem Gesuch um unentgeltliche Rechtspflege für das bundesgerichtliche Verfahren kann wegen Aussichtslosigkeit der Rechtsbegehren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