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8C_598/2021 vom 27. September 2021</w:t>
      </w:r>
    </w:p>
    <w:p>
      <w:r>
        <w:t>Bundesgericht, 2021-09-27, DE</w:t>
      </w:r>
    </w:p>
    <w:p>
      <w:r>
        <w:rPr>
          <w:b/>
        </w:rPr>
        <w:t xml:space="preserve">Quelle: </w:t>
      </w:r>
      <w:r>
        <w:t>https://mcp.opencaselaw.ch/entscheid/bger_8C_598_2021</w:t>
      </w:r>
    </w:p>
    <w:p>
      <w:r>
        <w:t>FR: TF 8C_598/2021 du 27 septembre 2021</w:t>
      </w:r>
    </w:p>
    <w:p>
      <w:r>
        <w:t>IT: TF 8C_598/2021 del 27 settembre 2021</w:t>
      </w:r>
    </w:p>
    <w:p>
      <w:pPr>
        <w:pStyle w:val="Heading2"/>
      </w:pPr>
      <w:r>
        <w:t>Volltext</w:t>
      </w:r>
    </w:p>
    <w:p>
      <w:r>
        <w:t>Bundesgericht</w:t>
      </w:r>
    </w:p>
    <w:p>
      <w:r>
        <w:t>Tribunal fédéral</w:t>
      </w:r>
    </w:p>
    <w:p>
      <w:r>
        <w:t>Tribunale federale</w:t>
      </w:r>
    </w:p>
    <w:p>
      <w:r>
        <w:t>Tribunal federal</w:t>
      </w:r>
    </w:p>
    <w:p>
      <w:r>
        <w:t>8C_598/2021</w:t>
      </w:r>
    </w:p>
    <w:p>
      <w:r>
        <w:t>Urteil vom 27.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Verwaltungsgerichts des Kantons Bern vom</w:t>
      </w:r>
    </w:p>
    <w:p>
      <w:r>
        <w:t>4. August 2021 (200 21 356 UV).</w:t>
      </w:r>
    </w:p>
    <w:p>
      <w:r>
        <w:t>Nach Einsicht</w:t>
      </w:r>
    </w:p>
    <w:p>
      <w:r>
        <w:t>in die Beschwerde vom 8. September 2021 gegen das Urteil des Verwaltungsgerichts des Kantons Bern vom 4. August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138 I 171 E. 1.4 ; 136 I 65 E. 1.3.1 und 134 V 53 E. 3.3),</w:t>
      </w:r>
    </w:p>
    <w:p>
      <w:r>
        <w:t>dass die Begründung in der Beschwerde selbst enthalten sein muss; der pauschale Verweis auf im Verwaltungs- und vorinstanzlichen Verfahren Vorgetragenes reicht nicht aus ( BGE 144 III 552 E. 4.2; 143 II 283 E. 1.2.3),</w:t>
      </w:r>
    </w:p>
    <w:p>
      <w:r>
        <w:t>dass die Vorinstanz in Würdigung der Akten und in Auseinandersetzung mit den Parteivorbingen die Leistungsansprüche des Beschwerdeführers gegenüber der Suva scheitern liess, weil es sich beim am 8. Mai 2019 als Anspruchsgrundlage gemeldeten Ereignis weder um einen Unfall im Sinne von Art. 4 ATSG gehandelt habe noch der hernach diagnostizierte Gesundheitsschaden mit einer Listendiagnose nach Art. 6 Abs. 2 UVG zusammenhänge,</w:t>
      </w:r>
    </w:p>
    <w:p>
      <w:r>
        <w:t>dass der Beschwerdeführer dies zwar kritisiert, sich indessen darauf beschränkt, den Geschehensablauf aus seiner Sicht zu schildern und die ärztlichen Befunde wiederzugeben; inwiefern die vorinstanzlichen Sachverhaltsfeststellungen unrichtig im Sinne von Art. 97 Abs. 2 BGG und die darauf beruhenden Erwägungen bundesrechtswidrig sein sollen, legt er nicht nachvollziehbar dar,</w:t>
      </w:r>
    </w:p>
    <w:p>
      <w:r>
        <w:t>dass dieser Begründungsmangel offensichtlich ist, was zu einem Nichteintreten auf die Beschwerde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27.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