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597/2011 vom 10. Mai 2012</w:t>
      </w:r>
    </w:p>
    <w:p>
      <w:r>
        <w:t>Bundesgericht, 2012-05-10, FR</w:t>
      </w:r>
    </w:p>
    <w:p>
      <w:r>
        <w:rPr>
          <w:b/>
        </w:rPr>
        <w:t xml:space="preserve">Quelle: </w:t>
      </w:r>
      <w:r>
        <w:t>https://mcp.opencaselaw.ch/entscheid/bger_8C_597_2011</w:t>
      </w:r>
    </w:p>
    <w:p>
      <w:r>
        <w:t>FR: TF 8C 597/2011 du 10 mai 2012</w:t>
      </w:r>
    </w:p>
    <w:p>
      <w:r>
        <w:t>IT: TF 8C 597/2011 del 10 maggio 2012</w:t>
      </w:r>
    </w:p>
    <w:p>
      <w:pPr>
        <w:pStyle w:val="Heading2"/>
      </w:pPr>
      <w:r>
        <w:t>Regeste</w:t>
      </w:r>
    </w:p>
    <w:p>
      <w:r>
        <w:t>Assurance-accidents (délimitation de l'activité lucrative indépendante avec l'activité lucrative dépendante) | Assurance-invalidité</w:t>
      </w:r>
    </w:p>
    <w:p>
      <w:pPr>
        <w:pStyle w:val="Heading2"/>
      </w:pPr>
      <w:r>
        <w:t>Erwägungen</w:t>
      </w:r>
    </w:p>
    <w:p>
      <w:r>
        <w:rPr>
          <w:b/>
        </w:rPr>
        <w:t>E. 1</w:t>
      </w:r>
    </w:p>
    <w:p>
      <w:r>
        <w:t>Le litige porte sur la qualification - salariée ou indépendante - de l'activité lucrative exercée par l'intimé pour le compte de la société X._______ SA entre 2006 et 2008.</w:t>
      </w:r>
    </w:p>
    <w:p>
      <w:r>
        <w:rPr>
          <w:b/>
        </w:rPr>
        <w:t>E. 2.1</w:t>
      </w:r>
    </w:p>
    <w:p>
      <w:r>
        <w:t>Selon l' art. 1a LAA , les travailleurs occupés en Suisse sont assurés à titre obligatoire contre le risque d'accident. Est réputé travailleur au sens de cette disposition quiconque exerce une activité lucrative dépendante au sens de la législation sur l'AVS ( art. 1 OLAA ).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2.2</w:t>
      </w:r>
    </w:p>
    <w:p>
      <w:r>
        <w:t>Les premiers juges ont correctement exposé les principes posés par la jurisprudence au sujet de la délimitation entre activité indépendante et salariée (voir ATF 123 V 161 consid. 1 p. 162; 122 V 169 consid. 3a p. 171, 281 consid. 2a p. 283; 119 V 161 consid. 2 et les références). Il suffit d'y renvoyer.</w:t>
      </w:r>
    </w:p>
    <w:p>
      <w:r>
        <w:rPr>
          <w:b/>
        </w:rPr>
        <w:t>E. 2.3</w:t>
      </w:r>
    </w:p>
    <w:p>
      <w:r>
        <w:t>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101 V 87 consid. 2 p. 89; arrêt du Tribunal fédéral des assurances [TFA] H 169/04 du 21 avril 2005 consid. 4.4; GUSTAVO SCARTAZZINI, in: GREBER/DUC/SCARTAZZINI, Commentaire des art. 1 à 16 de la Loi fédérale sur l'assurance-vieillesse et survivants [LAVS], 1996, n. 134 ss ad art. 5; HANS-PETER KÄSER, Unterstellung und Beitragswesen in der obligatorischen AHV, 2ème éd., ch. 4.51).</w:t>
      </w:r>
    </w:p>
    <w:p>
      <w:r>
        <w:rPr>
          <w:b/>
        </w:rPr>
        <w:t>E. 3.1</w:t>
      </w:r>
    </w:p>
    <w:p>
      <w:r>
        <w:t>La juridiction cantonale a constaté que l'activité déployée par C.________ pour le compte de la société X._______ SA durant les années 2006 à 2008 relevait de la sous-traitance, soit du contrat d'entreprise. L'intimé disposait d'une organisation d'entreprise puisqu'il louait des locaux et disposait du matériel en usage dans sa branche; il était assujetti au paiement des cotisations AVS en qualité d'employeur et était inscrit au registre des personnes assujetties à la TVA. En outre, il établissait lui-même ses factures sur un papier à en-tête spécifique et avait contracté une assurance-responsabilité civile professionnelle. Enfin, C.________ assumait lui-même le risque économique lié aux malfaçons ou à l'impossibilité d'assumer un chantier dans les délais prescrits. Tous ces éléments dénotaient qu'une activité indépendante prédominait dans le cas particulier. En outre, le premier juge a considéré qu'il n'était pas déterminant que l'inventaire du matériel de C.________ ne démontrât pas un important investissement dès lors qu'en sa qualité de poseur de revêtements de sols, il n'était pas contraint d'utiliser un matériel ou des machines requérant un lourd investissement financier, à la différence d'un maçon qui devait disposer d'une bétonneuse, de pelles mécaniques, de compresseurs, etc. En outre, le fait que l'intéressé a travaillé de façon très régulière pour l'entreprise X._______ SA durant les années 2006 à 2008 s'expliquait par la circonstance que celle-ci avait eu recours à ses services pour plusieurs gros chantiers. Au vu de tous ces éléments, la juridiction cantonale a reconnu à C.________ le statut d'indépendant pour son activité déployée pour le compte de la société X._______ SA depuis 2006.</w:t>
      </w:r>
    </w:p>
    <w:p>
      <w:r>
        <w:rPr>
          <w:b/>
        </w:rPr>
        <w:t>E. 3.2</w:t>
      </w:r>
    </w:p>
    <w:p>
      <w:r>
        <w:t>La recourante conteste le point de vue de la juridiction cantonale en faisant valoir que l'intimé ne supportait pas le risque économique d'un employeur. Durant la période considérée, il avait travaillé uniquement pour l'entreprise X._______ SA en qualité de sous-traitant, encaissant des montants non négligeables, de sorte qu'en cas d'interruption de l'activité, l'intimé se serait retrouvé dans la situation d'un salarié qui perd son emploi. Pour la recourante, l'intimé n'assumait par ailleurs aucun risque d'encaissement ni de ducroire à l'égard des clients de la société X._______ SA et ne disposait pas d'une véritable structure d'entreprise. Ce n'était qu'en mars 2007 qu'il avait loué pour la première fois un local professionnel. Même s'il assumait la responsabilité des malfaçons, il ne disposait de rien d'autre que de sa force de travail dans le cadre de l'exécution de son activité de sous-traitant, de sorte que son seul risque résidait dans le non-paiement de ses factures par l'entreprise précitée.</w:t>
      </w:r>
    </w:p>
    <w:p>
      <w:r>
        <w:rPr>
          <w:b/>
        </w:rPr>
        <w:t>E. 3.3</w:t>
      </w:r>
    </w:p>
    <w:p>
      <w:r>
        <w:t>En l'occurrence, il est établi que C.________ a été rémunéré par X._______ SA à hauteur de 36'718 fr. en 2006, de 97'347 fr. en 2007 et de 63'580 fr. en 2008. Durant ces années, son activité lucrative a consisté uniquement, ou du moins principalement en travaux de sous-traitance pour le compte de la société X._______ SA. Par conséquent, et au vu de la jurisprudence citée par la recourante (cf. arrêt 8C_484/2010 du 12 mai 2011), il ne fait aucun doute que durant les années en question, l'intimé s'est retrouvé dans la situation dans laquelle le risque encouru s'apparente à celui d'un salarié dont l'employeur ne s'acquitte pas du salaire pour un travail accompli plutôt qu'à celui d'un indépendant qui traite avec la recourante sur un pied d'égalité comme le feraient deux entreprises qui entretiendraient des liens commerciaux.</w:t>
      </w:r>
    </w:p>
    <w:p>
      <w:r>
        <w:rPr>
          <w:b/>
        </w:rPr>
        <w:t>E. 3.4</w:t>
      </w:r>
    </w:p>
    <w:p>
      <w:r>
        <w:t>Il découle de ce qui précède que l'activité lucrative exercée par l'intimé durant les années 2006 à 2008 pour le compte de la société X._______ SA doit être qualifiée de salariée.</w:t>
      </w:r>
    </w:p>
    <w:p>
      <w:r>
        <w:rPr>
          <w:b/>
        </w:rPr>
        <w:t>E. 4</w:t>
      </w:r>
    </w:p>
    <w:p>
      <w:r>
        <w:t>En tant que l'intimé invoque une violation de sa liberté personnelle ( art. 10 Cst. ), de la protection de sa sphère privée ainsi que de sa liberté économique ( art. 27 Cst. ), ses griefs sont infondés. En particulier, l'arrêt attaqué n'empêche pas l'intimé d'exercer sa profession de poseur de sols comme il l'entend - par exemple sans se cantonner pour l'essentiel à la sous-traitance - et de retirer un gain de son activité lucrative.</w:t>
      </w:r>
    </w:p>
    <w:p>
      <w:r>
        <w:rPr>
          <w:b/>
        </w:rPr>
        <w:t>E. 5</w:t>
      </w:r>
    </w:p>
    <w:p>
      <w:r>
        <w:t>Bien fondé, le recours de la CNA doit être admis et le jugement attaqué annulé. L'intimé, qui succombe, doit supporter les frais judiciaires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