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8C_596/2024 vom 20. November 2024</w:t>
      </w:r>
    </w:p>
    <w:p>
      <w:r>
        <w:t>Bundesgericht, 2024-11-20, FR</w:t>
      </w:r>
    </w:p>
    <w:p>
      <w:r>
        <w:rPr>
          <w:b/>
        </w:rPr>
        <w:t xml:space="preserve">Quelle: </w:t>
      </w:r>
      <w:r>
        <w:t>https://mcp.opencaselaw.ch/entscheid/bger_8C_596_2024</w:t>
      </w:r>
    </w:p>
    <w:p>
      <w:r>
        <w:t>FR: TF 8C_596/2024 du 20 novembre 2024</w:t>
      </w:r>
    </w:p>
    <w:p>
      <w:r>
        <w:t>IT: TF 8C_596/2024 del 20 novembre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Les premiers juges ont retenu que l'intimée avait valablement fixé le délai-cadre de cotisation du 26 mai 2021 au 26 mai 2023. Durant cette période, le recourant ne pouvait pas se prévaloir de la durée minimale de cotisation requise de douze mois. En particulier, l'existence d'une activité salariée pour les sociétés B.________ Sàrl et C.________ SA au-delà du 31 décembre 2021 n'était pas établie au degré de la vraisemblance prépondérante. Le recourant n'avait d'ailleurs été inscrit comme salarié auprès des caisses de compensation que jusqu'en décembre 2021. En outre, il ne pouvait pas être mis au bénéfice d'une libération de l'obligation de cotiser du fait d'une incapacité de travail du 3 août 2022 au 28 février 2023, cette incapacité étant inférieure à douze mois. La cour cantonale en a conclu que les conditions - définies par la LACI - du droit à l'indemnité de chômage n'étaient pas remplies.</w:t>
      </w:r>
    </w:p>
    <w:p>
      <w:r>
        <w:rPr>
          <w:b/>
        </w:rPr>
        <w:t>E. 2.2</w:t>
      </w:r>
    </w:p>
    <w:p>
      <w:r>
        <w:t>Le recourant, qui reproche aux juges cantonaux d'avoir rendu une décision inacceptable, répète comme en instance cantonale avoir travaillé pour les deux sociétés précitées durant la période litigieuse, sans toutefois avoir perçu de salaire ni d'indemnités perte de gain liées au Covid-19. Ces critiques, purement appellatoires, sont irrecevables (cf. ATF 147 IV 73 consid. 4.1.2; 146 IV 114 consid. 2.1; 140 III 264 consid. 2.3). Pour le reste, le recours ne contient aucune critique à l'encontre de la motivation de la juridiction cantonale. Le recourant n'expose pas, même brièvement, en quoi l'acte attaqué violerait le droit. Le recours, qui ne contient pas non plus de conclusions,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