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596/2019 vom 15. Januar 2020</w:t>
      </w:r>
    </w:p>
    <w:p>
      <w:r>
        <w:t>Bundesgericht, 2020-01-15, DE</w:t>
      </w:r>
    </w:p>
    <w:p>
      <w:r>
        <w:rPr>
          <w:b/>
        </w:rPr>
        <w:t xml:space="preserve">Quelle: </w:t>
      </w:r>
      <w:r>
        <w:t>https://mcp.opencaselaw.ch/entscheid/bger_8C_596_2019</w:t>
      </w:r>
    </w:p>
    <w:p>
      <w:r>
        <w:t>FR: TF 8C 596/2019 du 15 janvier 2020</w:t>
      </w:r>
    </w:p>
    <w:p>
      <w:r>
        <w:t>IT: TF 8C 596/2019 del 15 gennaio 2020</w:t>
      </w:r>
    </w:p>
    <w:p>
      <w:pPr>
        <w:pStyle w:val="Heading2"/>
      </w:pPr>
      <w:r>
        <w:t>Regeste</w:t>
      </w:r>
    </w:p>
    <w:p>
      <w:r>
        <w:t>Invalidenversicherung (Neuanmeldung)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Strittig ist, ob die Vorinstanz Bundesrecht verletzte, indem sie mit dem angefochtenen Entscheid die Verfügung vom 1. Oktober 2018 bestätigte, mit der die IV-Stelle auf die Neuanmeldung vom 26. Januar 2018 nicht eingetreten war.</w:t>
      </w:r>
    </w:p>
    <w:p>
      <w:r>
        <w:rPr>
          <w:b/>
        </w:rPr>
        <w:t>E. 3.1</w:t>
      </w:r>
    </w:p>
    <w:p>
      <w:r>
        <w:t>Das kantonale Gericht hat die gesetzlichen Bestimmungen und die von der Rechtsprechung entwickelten Grundsätze über die bei einer Neuanmeldung analog zur Revision anwendbaren Regeln ( Art. 17 Abs. 1 ATSG ; Art. 87 Abs. 2 und 3 IVV ; BGE 134 V 131 E. 3 S. 132; 133 V 108 E. 5 S. 110 ff.; 130 V 71 ; 117 V 198 E. 3a S. 198 f.) sowie zum revisionsrechtlich massgebenden Zeitraum ( BGE 133 V 108 E. 5.4 S. 114; 130 V 71 E. 3 S. 73 ff.) zutreffend dargelegt. Darauf wird verwiesen.</w:t>
      </w:r>
    </w:p>
    <w:p>
      <w:r>
        <w:rPr>
          <w:b/>
        </w:rPr>
        <w:t>E. 3.2</w:t>
      </w:r>
    </w:p>
    <w:p>
      <w:r>
        <w:t>Hervorzuheben ist, dass die Verwaltung nach Eingang einer Neuanmeldung vorab zu prüfen hat, ob die Vorbringen der gesuchstellenden Person betreffend die anspruchserhebliche Änderung der tatsächlichen Verhältnisse glaubhaft sind; andernfalls wird auf das Gesuch nicht eingetreten (vgl. Art. 87 Abs. 2 und 3 IVV ). 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9C_733/2019 vom 2. Dezember 2019 E. 2.2; 9C_367/2016 E. 2.2 mit Hinweisen, in: SVR 2016 IV Nr. 57 S. 188).</w:t>
      </w:r>
    </w:p>
    <w:p>
      <w:r>
        <w:rPr>
          <w:b/>
        </w:rPr>
        <w:t>E. 3.3</w:t>
      </w:r>
    </w:p>
    <w:p>
      <w:r>
        <w:t>Ob eine anspruchserhebliche Änderung nach Art. 87 Abs. 3 in Verbindung mit Abs. 2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9C_733/2019 vom 2. Dezember 2019 E. 2.3 mit Hinweis).</w:t>
      </w:r>
    </w:p>
    <w:p>
      <w:r>
        <w:rPr>
          <w:b/>
        </w:rPr>
        <w:t>E. 4.1</w:t>
      </w:r>
    </w:p>
    <w:p>
      <w:r>
        <w:t>Das kantonale Gericht erachtete die Verfügung vom 23. August 2016 als massgebenden Vergleichszeitpunkt, was von der Beschwerdeführerin zu Recht nicht bestritten wird. Es führte weiter aus, dass dieser Verfügung im Wesentlichen das ZMB-Gutachten vom 26. Mai 2016 zugrunde gelegen habe, dem es bereits im Entscheid vom 14. März 2017 Beweiswert zuerkannt habe. Damit sei auch der Sachverhalt im relevanten Vergleichszeitpunkt rechtskräftig festgestellt worden. Sodann würdigte das Versicherungsgericht die Berichte der Dr. med. B.________, Fachärztin für Rheumatologie, vom 30. Oktober 2017, und des Dr. med. C.________, Facharzt für Neurologie, vom 21. Februar 2018, die im Rahmen der Neuanmeldung (als einzige Dokumente) aufgelegt worden waren. Auf die eingehende Beweiswürdigung mit in allen Teilen überzeugender Begründung kann verwiesen werden ( Art. 109 Abs. 3 BGG ). Die Vorinstanz erkannte zutreffend, dass die Beschwerdeführerin mit diesen Berichten keine anspruchserhebliche Änderung des Gesundheitszustands im Vergleichszeitraum glaubhaft zu machen vermochte.</w:t>
      </w:r>
    </w:p>
    <w:p>
      <w:r>
        <w:rPr>
          <w:b/>
        </w:rPr>
        <w:t>E. 4.2</w:t>
      </w:r>
    </w:p>
    <w:p>
      <w:r>
        <w:t>Demgegenüber erweisen sich die Vorbringen der Beschwerdeführerin als offensichtlich unbegründet, soweit sie nicht ohnehin appellatorisch sind:</w:t>
      </w:r>
    </w:p>
    <w:p>
      <w:r>
        <w:rPr>
          <w:b/>
        </w:rPr>
        <w:t>E. 4.2.1</w:t>
      </w:r>
    </w:p>
    <w:p>
      <w:r>
        <w:t>Im Wesentlichen macht die Beschwerdeführerin (wie schon im vorinstanzlichen Verfahren) geltend, aus dem Bericht des Dr. med. C.________ gehe klar hervor, dass ihre Beschwerden seit Oktober 2013 im Längsverlauf zugenommen hätten, ihr selbst eine leidensangepasste Tätigkeit nicht mehr zuzumuten sei und eine namhafte Besserung des Gesundheitszustands auch bei intensiven Behandlungen nicht mehr erreicht werden könne. Folglich stehe ihr grundsätzlich ab Januar 2017 eine volle Rente zu; mindestens hätte diese Beurteilung die IV-Stelle aber zu weiteren Abklärungen veranlassen sollen. Allerdings setzt sich die Beschwerdeführerin in keiner Weise mit der Begründung der Vorinstanz auseinander, weshalb mit diesem Bericht keine erhebliche Veränderung des Gesundheitszustands glaubhaft dargetan sei, so dass es damit sein Bewenden hat.</w:t>
      </w:r>
    </w:p>
    <w:p>
      <w:r>
        <w:rPr>
          <w:b/>
        </w:rPr>
        <w:t>E. 4.2.2</w:t>
      </w:r>
    </w:p>
    <w:p>
      <w:r>
        <w:t>Die Beschwerdeführerin beruft sich sodann auf eine Verletzung des Untersuchungsgrundsatzes und letztlich auf eine Rechtsverweigerung. Allerdings spielt der Untersuchungsgrundsatz ( Art. 43 Abs. 1 ATSG ; BGE 136 V 376 E. 4.1.1 S. 377) im Verfahren der Neuanmeldung nach Art. 87 Abs. 2 und 3 IVV insoweit nicht, als die versicherte Person in Bezug auf das Vorliegen einer glaubhaften Änderung der tatsächlichen Verhältnisse seit der letzten rechtskräftigen Leistungsverweigerung eine Beweisführungslast trifft (Urteil 8C_343/2019 vom 18. September 2019 E. 3.4 mit Hinweis).</w:t>
      </w:r>
    </w:p>
    <w:p>
      <w:r>
        <w:rPr>
          <w:b/>
        </w:rPr>
        <w:t>E. 4.2.3</w:t>
      </w:r>
    </w:p>
    <w:p>
      <w:r>
        <w:t>Nicht zu hören ist die Beschwerdeführerin ferner mit ihrer pauschalen Kritik an der mangelnden Unabhängigkeit der von der Invalidenversicherung beauftragten Gutachterstellen im Allgemeinen sowie ihrer Beanstandung der Schlussfolgerungen des ZMB-Gutachtens vom 26. Mai 2016 im Besonderen. Dieses stellt nicht die Grundlage der hier im Streit stehenden Nichteintretensverfügung dar. Daran ändert auch nichts, dass es die Basis bildet für den hier relevanten Vergleich des gegenwärtigen mit dem damaligen Gesundheitszustand, wobei letzterer, wie gesagt, rechtskräftig festgestellt wurde (s. vorne E. 4.1). Ebenso wenig hilft es der Beschwerdeführerin, wenn sie anführt, dass das Gutachten nicht mehr aktuell sei. Denn genau dies hätte sie zumindest glaubhaft machen müssen, was ihr aber nicht gelungen ist.</w:t>
      </w:r>
    </w:p>
    <w:p>
      <w:r>
        <w:rPr>
          <w:b/>
        </w:rPr>
        <w:t>E. 4.2.4</w:t>
      </w:r>
    </w:p>
    <w:p>
      <w:r>
        <w:t>Nach der Beschwerdeführerin verstösst das Vorgehen der Beschwerdegegnerin auch gegen das Recht auf ein faires Verfahren, wie es in der Bundesverfassung und in Art. 6 EMRK garantiert werde. Nach Art. 106 Abs. 2 BGG prüft das Bundesgericht die Verletzung von Grundrechten nur insofern, als eine solche Rüge in der Beschwerde vorgebracht und begründet worden ist.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Die Beschwerdeführerin belässt es allerdings bei der Rüge der Grundrechtsverletzung, ohne diese weiter zu begründen. Daher erübrigen sich Weiterungen dazu. Die Beschwerde ist somit im Hauptpunkt abzuweisen, woran auch die übrigen Vorbringen der Beschwerdeführerin nichts ändern.</w:t>
      </w:r>
    </w:p>
    <w:p>
      <w:r>
        <w:rPr>
          <w:b/>
        </w:rPr>
        <w:t>E. 5</w:t>
      </w:r>
    </w:p>
    <w:p>
      <w:r>
        <w:t>Aufgrund der Aktenlage ist schliesslich nicht zu beanstanden, dass die Vorinstanz die Beschwerde von vornherein als aussichtslos qualifizierte und der Beschwerdeführerin die unentgeltliche Rechtspflege verweigerte, ohne die Bedürftigkeit zu prüfen. Die diesbezüglichen Argumente der Beschwerdeführerin beschränken sich auf eine appellatorische Kritik, auf die das Bundesgericht nicht eintritt ( BGE 142 III 364 E. 2.4 S. 368; 141 IV 249 E. 1.3.1 S. 253).</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