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8C_595/2011 vom 4. November 2011</w:t>
      </w:r>
    </w:p>
    <w:p>
      <w:r>
        <w:t>Bundesgericht, 2011-11-04, DE</w:t>
      </w:r>
    </w:p>
    <w:p>
      <w:r>
        <w:rPr>
          <w:b/>
        </w:rPr>
        <w:t xml:space="preserve">Quelle: </w:t>
      </w:r>
      <w:r>
        <w:t>https://mcp.opencaselaw.ch/entscheid/bger_8C_595_2011</w:t>
      </w:r>
    </w:p>
    <w:p>
      <w:r>
        <w:t>FR: TF 8C_595/2011 du 4 novembre 2011</w:t>
      </w:r>
    </w:p>
    <w:p>
      <w:r>
        <w:t>IT: TF 8C_595/2011 del 4 novembre 2011</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 Die konkrete Beweiswürdigung stellt eine Tatfrage dar ( BGE 132 V 393 E. 3.3 S. 399; Urteil 8C_304/2011 vom 6. Juli 2011 E. 1).</w:t>
      </w:r>
    </w:p>
    <w:p>
      <w:r>
        <w:rPr>
          <w:b/>
        </w:rPr>
        <w:t>E. 2</w:t>
      </w:r>
    </w:p>
    <w:p>
      <w:r>
        <w:t>Das kantonale Gericht hat die zur Beurteilung des Rentenanspruchs erforderlichen Rechtsgrundlagen zutreffend dargelegt; darauf wird verwiesen ( Art. 109 Abs. 3 BGG ).</w:t>
      </w:r>
    </w:p>
    <w:p>
      <w:r>
        <w:rPr>
          <w:b/>
        </w:rPr>
        <w:t>E. 3</w:t>
      </w:r>
    </w:p>
    <w:p>
      <w:r>
        <w:t>Der Beschwerdeführer bringt nichts vor, was die vorinstanzliche Tatsachenfeststellung einer Arbeitsfähigkeit von zumindest sechs Stunden täglich in leidensangepassten Tätigkeiten wie der bisherigen als offensichtlich unrichtig erscheinen liesse. Es ist weder dargetan noch ersichtlich, inwiefern das in vollständiger Berücksichtigung der rechtserheblichen medizinischen Aktenlage ermittelte Beweisergebnis willkürlich ( Art. 9 BV ) oder anderweitig auf einer Bundesrechtsverletzung ( Art. 95 lit. a BGG ) beruht. Entgegen der Auffassung des Beschwerdeführers liegt in der vorinstanzlichen Feststellung - in für das Bundesgericht grundsätzlich verbindlicher Würdigung der medizinischen Aktenlage -, dass er noch in der Lage ist, körperlich leichte Tätigkeiten mit der Möglichkeit von Positionswechseln und ohne Heben/Tragen von schweren Gewichten weiterhin auszuüben und dass die frühere Tätigkeit als Rechtsanwalt und wissenschaftlicher Mitarbeiter diesen Kriterien grundsätzlich entspricht, keine Aktenwidrigkeit. Daran vermag auch das Zeugnis des vom Versicherten angerufenen Prof. Dr. med. S.________ nichts zu ändern, selbst wenn dieser ausführt, dass feinmotorische Arbeiten nicht mehr zuzumuten seien, und dass alle Tätigkeiten vorzugsweise an der frischen Luft auszuführen sind. Beides wird mit keinem Wort begründet. Es gilt dabei auch festzustellen, dass die Tätigkeit eines Rechtsanwalts beziehungsweise eines wissenschaftlichen juristischen Mitarbeiters nicht als feinmotorische gelten kann, da sie auch von körperlich behinderten Personen ausgeübt wird. Dass die genannten Tätigkeiten aus psychiatrischer Sicht aufgrund der festgestellten leichten Depression nur eingeschränkt zumutbar sein sollen, behauptet der Beschwerdeführer nicht. Entgegen seiner Darstellung hat die Vorinstanz rechtsgenüglich begründet, weshalb auf weitere Sachverhaltsabklärungen verzichtet werden kann und weshalb die in Deutschland attestierte Arbeitsfähigkeit im Rahmen von "drei bis unter sechs Stunden" nicht ohne Weiteres für die Beurteilung eines Anspruchs auf eine schweizerische Invalidenrente herangezogen werden kann. Es wird darauf verwiesen.</w:t>
      </w:r>
    </w:p>
    <w:p>
      <w:r>
        <w:t>Zusammenfassend hat das Bundesverwaltungsgericht in nicht zu beanstandender Weise festgestellt, dass dem Beschwerdeführer auf der Basis von nachvollziehbaren und begründeten medizinischen Akten seine bisherige Tätigkeit während ca. sechs Stunden am Tag weiterhin zumutbar ist.</w:t>
      </w:r>
    </w:p>
    <w:p>
      <w:r>
        <w:t>Mit Blick auf die erwerblichen Auswirkungen des Gesundheitsschadens ist schliesslich die vorinstanzliche Invaliditätsbemessung mittels Prozentvergleich, entgegen der Darstellung des Beschwerdeführers, als zutreffend zu bezeichnen. Diesbezügliche Weiterungen erübrigen sich daher.</w:t>
      </w:r>
    </w:p>
    <w:p>
      <w:r>
        <w:rPr>
          <w:b/>
        </w:rPr>
        <w:t>E. 4</w:t>
      </w:r>
    </w:p>
    <w:p>
      <w:r>
        <w:t>Die Beschwerde ist offensichtlich unbegründet und wird im vereinfachten Verfahren nach Art. 109 BGG , ohne Durchführung des Schriftenwechsels, mit summarischer Begründung und unter Verweis auf den vorinstanzlichen Entscheid, erledigt.</w:t>
      </w:r>
    </w:p>
    <w:p>
      <w:r>
        <w:rPr>
          <w:b/>
        </w:rPr>
        <w:t>E. 5</w:t>
      </w:r>
    </w:p>
    <w:p>
      <w:r>
        <w:t>Das Verfahren ist kostenpflichtig ( Art. 65 BGG ). Das Gesuch um unentgeltliche Rechtspflege wird infolge Aussichtslosigkeit abgewiesen ( Art. 64 Abs. 1 BGG ).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