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594/2016 vom 4. November 2016</w:t>
      </w:r>
    </w:p>
    <w:p>
      <w:r>
        <w:t>Bundesgericht, 2016-11-04, DE</w:t>
      </w:r>
    </w:p>
    <w:p>
      <w:r>
        <w:rPr>
          <w:b/>
        </w:rPr>
        <w:t xml:space="preserve">Quelle: </w:t>
      </w:r>
      <w:r>
        <w:t>https://mcp.opencaselaw.ch/entscheid/bger_8C_594_2016</w:t>
      </w:r>
    </w:p>
    <w:p>
      <w:r>
        <w:t>FR: TF 8C 594/2016 du 4 novembre 2016</w:t>
      </w:r>
    </w:p>
    <w:p>
      <w:r>
        <w:t>IT: TF 8C 594/2016 del 4 novembre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Das kantonale Gericht hat die gesetzliche Bestimmung über den Anspruch auf Leistungen der obligatorischen Unfallversicherung im Allgemeinen ( Art. 6 Abs. 1 UVG ) und die Rechtsprechung zu dem für die Leistungspflicht vorausgesetzten natürlichen Kausalzusammenhang zwischen dem Unfall und dem eingetretenen Schaden (Krankheit, Invalidität, Tod: BGE 129 V 177 E. 3.1 S. 181) im Speziellen zutreffend dargelegt. Darauf wird verwiesen.</w:t>
      </w:r>
    </w:p>
    <w:p>
      <w:r>
        <w:rPr>
          <w:b/>
        </w:rPr>
        <w:t>E. 2.2</w:t>
      </w:r>
    </w:p>
    <w:p>
      <w:r>
        <w:t>Zu wiederholen ist, dass dann, wenn die Unfallkausalität einmal mit der erforderlichen Wahrscheinlichkeit nachgewiesen ist, die Leistungspflicht des Unfallversicherers erst entfällt,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1994 Nr. U 206 S. 326, U 180/93 E. 3b).</w:t>
      </w:r>
    </w:p>
    <w:p>
      <w:r>
        <w:rPr>
          <w:b/>
        </w:rPr>
        <w:t>E. 3.1</w:t>
      </w:r>
    </w:p>
    <w:p>
      <w:r>
        <w:t>Das kantonale Gericht hat erwogen, dass zur Beurteilung der Frage, ob der Versicherte über den 1. Dezember 2015 hinaus Anspruch auf Leistungen der obligatorischen Unfallversicherung hatte, auf den in allen Teilen beweiskräftigen kreisärztlichen Bericht des Dr. med. E.________ vom 23. November 2015 abzustellen sei. Er lege überzeugend dar, dass der Unfall vom 2. Juli 2015 (direktes Trauma) nicht geeignet gewesen sei, eine Ruptur der Supraspinatussehne zu verursachen. Dies gelte umso mehr, als sich im MRI vom 13. August 2015, mithin erst rund sechs Wochen nach dem Ereignis, bereits eine Retraktion der Sehne um 2 cm gezeigt habe, was gegen einen frischen Riss spreche. Wenn der Versicherte demnach keine Rotatorenmanschettenruptur erlitten, sondern sich lediglich eine Schulterkontusion zugezogen habe, müsse mit den schlüssigen Auskünften des Dr. med. E.________ eine vorübergehende Verschlimmerung eines Vorzustandes angenommen werden, die nach vier bis sechs Wochen ausgeheilt gewesen sei. Soweit Dr. med. C.________ im Bericht vom 16. Februar 2016 davon ausgehe, die Schultersteife (frozen shoulder) wäre ohne das Trauma und die hierauf durchgeführte Operation nicht entstanden, sei zu beachten, dass die Formel "post hoc ergo propter hoc" beweisrechtlich nicht beachtlich sei. Unter diesen Umständen erübrige sich in antizipierender Beweiswürdigung, von Dr. med. C.________ einen weiteren Bericht einzuholen. Insgesamt sei die Einstellung der Versicherungsleistungen per 1. Dezember 2015 (recte: 30. November 2015) nicht zu beanstanden.</w:t>
      </w:r>
    </w:p>
    <w:p>
      <w:r>
        <w:rPr>
          <w:b/>
        </w:rPr>
        <w:t>E. 3.2.1</w:t>
      </w:r>
    </w:p>
    <w:p>
      <w:r>
        <w:t>Dr. med. E.________ erörterte im Bericht vom 23. November 2015, dass in der medizinischen Literatur als geeignete Verletzungsmechanismen, die einen Riss der Rotatorenmanschette verursachen können, verschiedene Abläufe, wie eine passiv forcierte Aussen- oder Innenrotation bei anliegendem oder abgespreizten Arm, eine starke Zugbelastung beim Abspreizen des Armes oder als Begleitverletzung einer Ausrenkung (Luxation) des Schultergelenks genannt werden; nicht geeignet sind - wie hier - unter anderem direkte Schulterprellungen oder die willkürlich koordinierte Kraftentfaltung. Defekte der Rotatorenmanschette werden in der Fachwelt als multifaktorielles Geschehen angesehen, wobei die vor allem auch in Folge des Alterungsprozesses entstandenen degenerativen Veränderungen im Vordergrund stehen.</w:t>
      </w:r>
    </w:p>
    <w:p>
      <w:r>
        <w:rPr>
          <w:b/>
        </w:rPr>
        <w:t>E. 3.2.2</w:t>
      </w:r>
    </w:p>
    <w:p>
      <w:r>
        <w:t>Der Beschwerdeführer brachte erstmals im vorinstanzlichen Verfahren vor, der in der Schadenmeldung UVG vom 9. Juli 2015 festgehaltene Sachverhalt treffe nicht zu. Er habe am Unfalltag ein rundes, ungefähr 20 kg schweres Baugussteil über Kopf aus einem zwei Meter hohen Container gehoben; dieses habe jedoch wegen des Asphaltes mit anderen Stücken zusammen geklebt; die Teile seien ins Rutschen geraten und er habe versucht, sie aufzufangen, wobei die linke Schulter einer starken Belastung ausgesetzt worden sei. Das kantonale Gericht verkenne die Bedeutung der von ihm angerufenen Beweismaxime "Aussage der ersten Stunde". Deren Anwendbarkeit setze gemäss Rechtsprechung und Literatur voraus, dass die Aussage präzise und vollständig aufgezeichnet worden sei, wobei die allfällige Unbeholfenheit und beschränkte sprachliche Ausdrucksfähigkeit der versicherten Person zu berücksichtigen sei. Darüber hinaus dürfe die Beweismaxime nicht angewendet werden, wenn auf Aussagen Dritter zurückgegriffen werde, und überhaupt stelle sie keine förmliche Beweisregel, sondern lediglich eine im Rahmen der freien Beweiswürdigung zu berücksichtigende Entscheidungshilfe dar. Das Formular "Schadenmeldung UVG" sei von einem kaufmännischen Sachbearbeiter der Arbeitgeberin, der ihn nie zum Hergang des Unfalles befragt habe, acht Tage später ausgefüllt worden. Daher sei offensichtlich, dass der Sachverhalt nicht präzise ermittelt worden und zudem von einer Drittperson geschildert worden sei, weshalb entgegen der Auffassung der Vorinstanz keine echtzeitliche Aussage des Versicherten und damit auch kein Wechsel in der Schilderung des Sachverhalts vorliegen könne. Das kantonale Gericht habe sich in Verletzung des Anspruchs auf das rechtliche Gehör mit diesen Vorbringen nicht auseinandergesetzt und davon abgesehen, den Sachverhalt zusätzlich abzuklären.</w:t>
      </w:r>
    </w:p>
    <w:p>
      <w:r>
        <w:rPr>
          <w:b/>
        </w:rPr>
        <w:t>E. 3.2.3.1</w:t>
      </w:r>
    </w:p>
    <w:p>
      <w:r>
        <w:t>Der Beschwerdeführer untermauert seine im kantonalen Verfahren geltend gemachte Schilderung des Unfallhergangs mit den von ihm eingeholten Auskünften der B.________ AG vom 6. September 2016. Er übersieht, dass das Vorbringen von Tatsachen oder Beweismitteln, die sich auf das vorinstanzliche Prozessthema beziehen, jedoch erst nach dem angefochtenen Entscheid entstanden sind (sogenannt "echte" Noven), von vornherein nicht durch den weitergezogenen Entscheid veranlasst worden sein kann (vgl. Art. 99 Abs. 1 BGG ) und somit im bundesgerichtlichen Verfahren in jedem Fall unzulässig ist (Urteil 2C_94/2009 vom 16. Juni 2009 E. 2.2).</w:t>
      </w:r>
    </w:p>
    <w:p>
      <w:r>
        <w:rPr>
          <w:b/>
        </w:rPr>
        <w:t>E. 3.2.3.2</w:t>
      </w:r>
    </w:p>
    <w:p>
      <w:r>
        <w:t>Was die Einwendungen zur vorinstanzlichen Beweiswürdigung im zu diskutierenden Punkt betrifft, fällt auf, dass der im kantonalen Verfahren neu geschilderte Ablauf des Unfallgeschehens denjenigen Verletzungsmechanismen entsprach, die Dr. med. E.________ gestützt auf medizinische Literatur und Lehrmeinungen als geeignet bezeichnete, eine Ruptur der Rotatorenmanschette zu verursachen. Schon angesichts dieses Umstandes ist die Auffassung des kantonalen Gerichts, dass der neu geschilderte Ablauf weniger wahrscheinlich sei als der in der Unfallmeldung angegebene, nicht zu beanstanden. Sodann ist wenig plausibel, dass der Versicherte die auf ihn zurutschenden (oder heranfallenden), je 20 kg schweren und aneinander klebenden Baugussteile aufzufangen versuchte; vielmehr ist davon auszugehen, dass er sich in Sicherheit gebracht hatte. Dieses Verhalten steht auch in der Logik des ärztlich festgestellten Hämatoms an der linken Schulter. Schliesslich übersieht der Beschwerdeführer - auch dies ist der Vorinstanz nicht entgangen -, dass sich die in der Unfallmeldung angegebene Schilderung des Unfallgeschehens ohne Weiteres mit den klinischen und radiologischen Befunden (keine frischen Läsionen; deutlich retrahierte Supraspinatussehne) in Übereinstimmung bringen liess. Angesichts des Gesagten ist nicht ersichtlich, inwiefern das kantonale Gericht den Unfallhergang in Verletzung der ihm obliegenden Pflicht, die Beweise frei zu würdigen (vgl. Art. 61 lit. c ATSG ), allein gestützt auf die Beweismaxime der "Aussage der ersten Stunde" festgestellt haben und damit gegen den geltend gemachten Anspruch auf rechtliches Gehör ( Art. 29 Abs. 2 BV ) verstossen haben soll.</w:t>
      </w:r>
    </w:p>
    <w:p>
      <w:r>
        <w:rPr>
          <w:b/>
        </w:rPr>
        <w:t>E. 3.3</w:t>
      </w:r>
    </w:p>
    <w:p>
      <w:r>
        <w:t>Hinsichtlich der weiter geltend gemachten Einwände zur Beurteilung der Kausalität, die sich allein auf Frage des Unfallhergangs beziehen, wird im Übrigen auf die nicht zu beanstandenden Erwägungen im angefochtenen Entscheid verwiesen, welchen nichts beizufügen ist.</w:t>
      </w:r>
    </w:p>
    <w:p>
      <w:r>
        <w:rPr>
          <w:b/>
        </w:rPr>
        <w:t>E. 4</w:t>
      </w:r>
    </w:p>
    <w:p>
      <w:r>
        <w:t>Die Gerichtskosten sind dem Beschwerdeführer als unterliegender Partei aufzuerlegen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