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8C_593/2023 vom 21. September 2023</w:t>
      </w:r>
    </w:p>
    <w:p>
      <w:r>
        <w:t>Bundesgericht, 2023-09-21, DE</w:t>
      </w:r>
    </w:p>
    <w:p>
      <w:r>
        <w:rPr>
          <w:b/>
        </w:rPr>
        <w:t xml:space="preserve">Quelle: </w:t>
      </w:r>
      <w:r>
        <w:t>https://mcp.opencaselaw.ch/entscheid/bger_8C_593_2023</w:t>
      </w:r>
    </w:p>
    <w:p>
      <w:r>
        <w:t>FR: TF 8C_593/2023 du 21 septembre 2023</w:t>
      </w:r>
    </w:p>
    <w:p>
      <w:r>
        <w:t>IT: TF 8C_593/2023 del 21 settembre 2023</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angefochtenen Entscheid vom 11. Juli 2023 in Auseinandersetzung mit den Parteivorbringen und in Würdigung der Akten dar, weshalb der Einspracheentscheid der Beschwerdegegnerin vom 4. Mai 2022 worin dem Beschwerdeführer eine Invalidenrente verwehrt und eine Integritätsentschädigung auf der Basis eines Integritätsschadens von 15 % zugesprochen wurde, rechtens ist.</w:t>
      </w:r>
    </w:p>
    <w:p>
      <w:r>
        <w:rPr>
          <w:b/>
        </w:rPr>
        <w:t>E. 3</w:t>
      </w:r>
    </w:p>
    <w:p>
      <w:r>
        <w:t>Der Beschwerdeführer geht auf das von der Vorinstanz dazu Erwogene nicht hinreichend sachbezogen ein, indem er einerseits die nicht Gegenstand des vorinstanzlichen Verfahrens bildende Berechnung der Taggeldansprüche zu diskutieren versucht (dazu s. Art. 99 Abs. 2 BGG ) und auch nicht aufzeigt, inwiefern die Vorinstanz diesbezüglich falsch verfahren sein soll. Soweit er im Übrigen die von der Vorinstanz getroffenen Sachverhaltsfeststellungen - wie auch die gestützt darauf vorgenommenen rechtlichen Erwägungen - lediglich pauschal als falsch rügt, genügt dies nicht.</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