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593/2020 vom 12. Oktober 2020</w:t>
      </w:r>
    </w:p>
    <w:p>
      <w:r>
        <w:t>Bundesgericht, 2020-10-12, DE</w:t>
      </w:r>
    </w:p>
    <w:p>
      <w:r>
        <w:rPr>
          <w:b/>
        </w:rPr>
        <w:t xml:space="preserve">Quelle: </w:t>
      </w:r>
      <w:r>
        <w:t>https://mcp.opencaselaw.ch/entscheid/bger_8C_593_2020</w:t>
      </w:r>
    </w:p>
    <w:p>
      <w:r>
        <w:t>FR: TF 8C 593/2020 du 12 octobre 2020</w:t>
      </w:r>
    </w:p>
    <w:p>
      <w:r>
        <w:t>IT: TF 8C 593/2020 del 12 ottobre 2020</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12.10.2020 8C 593/2020 (8C_593/2020) Tribunal fédéral IIIe Cour de droit public (Ire Cour de droit social) 12.10.2020 8C 593/2020 (8C_593/2020) Tribunale federale III Corte di diritto pubblico (I Corte di diritto sociale) 12.10.2020 8C 593/2020 (8C_593/2020)</w:t>
      </w:r>
    </w:p>
    <w:p>
      <w:r>
        <w:t>Öffentliches Personalrecht (Prozessvoraussetzung) | Öffentliches Dienstverhältnis</w:t>
      </w:r>
    </w:p>
    <w:p>
      <w:r>
        <w:t>Bundesgericht Tribunal fédéral Tribunale federale Tribunal federal 8C_593/2020 Urteil vom 12. Oktober 2020 I. sozialrechtliche Abteilung Besetzung Bundesrichter Maillard, Präsident, Gerichtsschreiberin Berger Götz. Verfahrensbeteiligte A.________, Beschwerdeführer, gegen Staatssekretariat für Migration SEM, Direktionsbereich Planung und Ressourcen, Quellenweg 6, 3003 Bern, Beschwerdegegner. Gegenstand Öffentliches Personalrecht (Prozessvoraussetzung), Beschwerde gegen den Entscheid des Bundesverwaltungsgerichts vom 24. August 2020 (A-4745/2019). Nach Einsicht in die Beschwerde vom 23. September 2020 (Poststempel) gegen den Entscheid des Bundesverwaltungsgerichts vom 24. August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86 E. 2 S. 88 f.; 134 V 53 E. 3.3 S. 60), dass das Bundesverwaltungsgericht im angefochtenen Entscheid einlässlich dargelegt hat, aus welchen Gründen die Kündigung des Arbeitsverhältnisses durch das Staatssekretariat für Migration nicht als missbräuchlich zu qualifizieren sei und kein Anspruch auf eine Entschädigung bestehe, dass sich der Beschwerdeführer in seiner Eingabe mit keinem Wort mit dieser Entscheidbegründung auseinandersetzt und insbesondere nichts anführt,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 lediglich die bereits im Verfahren vor Bundesverwaltungsgericht erhobenen Einwände zu wiederholen und namentlich zu behaupten, er sei an seiner Arbeitsstelle extremem Rassismus und gezielter Diskriminierung ausgesetzt gewesen und er bitte um detaillierte Untersuchung dieses Mobbing- und Bossingfalls, reicht zur Begründung bei Weitem nicht aus, dass damit keine hinreichend begründete Beschwerde im Sinne von Art. 42 Abs. 2 BGG vorliegt, dass dieser Mangel offensichtlich ist, weshalb im vereinfachten Verfahren nach Art. 108 Abs. 1 lit. b BGG auf die Beschwerde nicht einzutreten ist, dass im Übrigen infolge des klaren Begründungsmangels offen bleiben kann, ob die auf dem Gebiet der öffentlich-rechtlichen Arbeitsverhältnisse für die Zulässigkeit der Beschwerde vorausgesetzte Streitwertgrenze von Fr. 15'000.- gemäss Art. 85 Abs. 1 lit. b BGG überhaupt erreicht wäre, dass in Anwendung von Art. 66 Abs. 1 Satz 2 BGG ausnahmsweise auf die Erhebung von Gerichtskosten verzichtet werden kann, erkennt der Präsident: 1. Auf die Beschwerde wird nicht eingetreten. 2. Es werden keine Gerichtskosten erhoben. 3. Dieses Urteil wird den Parteien und dem Bundesverwaltungsgericht schriftlich mitgeteilt. Luzern, 12. Oktober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