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8C_593/2015 vom 29. September 2015</w:t>
      </w:r>
    </w:p>
    <w:p>
      <w:r>
        <w:t>Bundesgericht, 2015-09-29, DE</w:t>
      </w:r>
    </w:p>
    <w:p>
      <w:r>
        <w:rPr>
          <w:b/>
        </w:rPr>
        <w:t xml:space="preserve">Quelle: </w:t>
      </w:r>
      <w:r>
        <w:t>https://mcp.opencaselaw.ch/entscheid/bger_8C_593_2015</w:t>
      </w:r>
    </w:p>
    <w:p>
      <w:r>
        <w:t>FR: TF 8C_593/2015 du 29 septembre 2015</w:t>
      </w:r>
    </w:p>
    <w:p>
      <w:r>
        <w:t>IT: TF 8C_593/2015 del 29 settembre 2015</w:t>
      </w:r>
    </w:p>
    <w:p>
      <w:pPr>
        <w:pStyle w:val="Heading2"/>
      </w:pPr>
      <w:r>
        <w:t>Volltext</w:t>
      </w:r>
    </w:p>
    <w:p>
      <w:r>
        <w:t>Bundesgericht</w:t>
      </w:r>
    </w:p>
    <w:p>
      <w:r>
        <w:t>Tribunal fédéral</w:t>
      </w:r>
    </w:p>
    <w:p>
      <w:r>
        <w:t>Tribunale federale</w:t>
      </w:r>
    </w:p>
    <w:p>
      <w:r>
        <w:t>Tribunal federal</w:t>
      </w:r>
    </w:p>
    <w:p>
      <w:r>
        <w:t>8C_593/2015 {T 0/2}</w:t>
      </w:r>
    </w:p>
    <w:p>
      <w:r>
        <w:t>Urteil vom 29. September 2015</w:t>
      </w:r>
    </w:p>
    <w:p>
      <w:r>
        <w:t>I. sozialrechtliche Abteilung</w:t>
      </w:r>
    </w:p>
    <w:p>
      <w:r>
        <w:t>Besetzung</w:t>
      </w:r>
    </w:p>
    <w:p>
      <w:r>
        <w:t>Bundesrichterin Leuzinger, Präsidentin,</w:t>
      </w:r>
    </w:p>
    <w:p>
      <w:r>
        <w:t>Gerichtsschreiber Grünvogel.</w:t>
      </w:r>
    </w:p>
    <w:p>
      <w:r>
        <w:t>Verfahrensbeteiligte</w:t>
      </w:r>
    </w:p>
    <w:p>
      <w:r>
        <w:t>A.________, vertreten durch</w:t>
      </w:r>
    </w:p>
    <w:p>
      <w:r>
        <w:t>Rechtsanwältin Cordula Spörri,</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 vom 17. Juni 2015.</w:t>
      </w:r>
    </w:p>
    <w:p>
      <w:r>
        <w:t>Nach Einsicht</w:t>
      </w:r>
    </w:p>
    <w:p>
      <w:r>
        <w:t>in die Beschwerde vom 31. August 2015 (Poststempel) gegen den Entscheid des Versicherungsgerichts des Kantons Aargau vom 17. Juni 2015,</w:t>
      </w:r>
    </w:p>
    <w:p>
      <w:r>
        <w:t>in Erwägung,</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 Art. 92 Abs. 1 BGG ; BGE 138 V 318 ; 271, insbesondere E. 3.1 S. 278 mit Hinweisen) oder die Nichtbehandlung von im kantonalen Gerichtsverfahren bereits vorgebrachten Rügen betreffen (Urteile 9C_207/2012 vom 3. Juli 2013E. 1.2.6 f. nicht publ. in: BGE 139 V 349 , und 8C_227/2013 vom 22. August 2013),</w:t>
      </w:r>
    </w:p>
    <w:p>
      <w:r>
        <w:t>dass hinsichtlich anderer Aspekte das Bundesgericht die Anordnung des Gutachtens gegebenenfalls zusammen mit dem Endentscheid auf deren Bundesrechtskonformität hin prüft (a.a.O.; sodann statt vieler weiterer: Urteil 8C_216/2015 vom 12. Mai 2015)</w:t>
      </w:r>
    </w:p>
    <w:p>
      <w:r>
        <w:t>dass der Beschwerdeführer nichts Derartiges vorbringt,</w:t>
      </w:r>
    </w:p>
    <w:p>
      <w:r>
        <w:t>dass er vielmehr einzig die Notwendigkeit und den Umfang der von der IV-Stelle angeordneten Begutachtung in Frage stellt,</w:t>
      </w:r>
    </w:p>
    <w:p>
      <w:r>
        <w:t>dass er überdies (zu Recht) nicht geltend macht, die Vorinstanz habe die diesbezüglich vorgetragene Rüge der angeblich fehlenden Notwendigkeit einer Zweitbegutachtung gänzlich unbehandelt gelassen, sondern die damit einhergehende Beweiswürdigung und rechtlichen Überlegungen kritisiert, was nach Gesagtem indessen im jetzigen Verfahrensstadium nicht vor Bundesgericht thematisiert werden kann,</w:t>
      </w:r>
    </w:p>
    <w:p>
      <w:r>
        <w:t>dass sich dergestalt die Beschwerde insgesamt als offensichtlich unzulässig erweist, weshalb darauf im vereinfachten Verfahren nach Art. 108 Abs. 1 lit. a BGG nicht einzutreten ist,</w:t>
      </w:r>
    </w:p>
    <w:p>
      <w:r>
        <w:t>dass der Beschwerdeführer nach Art. 66 Abs. 1 und 3 BGG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Sozialversicherungen schriftlich mitgeteilt.</w:t>
      </w:r>
    </w:p>
    <w:p>
      <w:r>
        <w:t>Luzern, 29.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