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8C_591/2013 vom 29. Oktober 2013</w:t>
      </w:r>
    </w:p>
    <w:p>
      <w:r>
        <w:t>Bundesgericht, 2013-10-29, DE</w:t>
      </w:r>
    </w:p>
    <w:p>
      <w:r>
        <w:rPr>
          <w:b/>
        </w:rPr>
        <w:t xml:space="preserve">Quelle: </w:t>
      </w:r>
      <w:r>
        <w:t>https://mcp.opencaselaw.ch/entscheid/bger_8C_591_2013</w:t>
      </w:r>
    </w:p>
    <w:p>
      <w:r>
        <w:t>FR: TF 8C_591/2013 du 29 octobre 2013</w:t>
      </w:r>
    </w:p>
    <w:p>
      <w:r>
        <w:t>IT: TF 8C_591/2013 del 29 ottobre 2013</w:t>
      </w:r>
    </w:p>
    <w:p>
      <w:pPr>
        <w:pStyle w:val="Heading2"/>
      </w:pPr>
      <w:r>
        <w:t>Erwägungen</w:t>
      </w:r>
    </w:p>
    <w:p>
      <w:r>
        <w:rPr>
          <w:b/>
        </w:rPr>
        <w:t>E. 1</w:t>
      </w:r>
    </w:p>
    <w:p>
      <w:r>
        <w:t>Die Beschwerde in öffentlich-rechtlichen Angelegenheiten ( Art. 82 ff. BGG ) kann wegen Rechtsverletzungen gemäss den Art. 95 f. BGG erhoben werden.</w:t>
      </w:r>
    </w:p>
    <w:p>
      <w:r>
        <w:rPr>
          <w:b/>
        </w:rPr>
        <w:t>E. 2.1</w:t>
      </w:r>
    </w:p>
    <w:p>
      <w:r>
        <w:t>Die für die Beurteilung des streitigen Leistungsanspruches massgebende gesetzliche Bestimmung ( Art. 21 Abs. 1 lit. c UVG ) und die hiezu ergangene Rechtsprechung (SVR 2012 UV Nr. 6 S. 21 [= Urteil 8C_191/2011 vom 16. September 2011]; vgl. auch Urteil [des seinerzeitigen Eidgenössischen Versicherungsgerichts] U 12/04 vom 28. Juli 2004 E. 3.2) sind im angefochtenen Entscheid zutreffend dargelegt worden, worauf verwiesen wird.</w:t>
      </w:r>
    </w:p>
    <w:p>
      <w:r>
        <w:rPr>
          <w:b/>
        </w:rPr>
        <w:t>E. 2.2</w:t>
      </w:r>
    </w:p>
    <w:p>
      <w:r>
        <w:t>Weil angesichts der wiedererlangten vollständigen Arbeitsfähigkeit im vor dem erlittenen Unfall ausgeübten Beruf von der Fortsetzung ärztlicher Behandlung keine namhafte Besserung des Gesundheitszustandes im Sinne von Art. 19 Abs. 1 UVG mehr zu erwarten war, wurde der Versicherungsfall mit Verfügung vom 6. Juli 2012 und Einspracheentscheid vom 31. Oktober 2012 abgeschlossen, ohne dass dem Beschwerdeführer eine Invalidenrente zugesprochen worden wäre. Nach der in E. 2.1 hievor angeführten Rechtsprechung hat der Unfallversicherer damit aufgrund von Art. 21 Abs. 1 lit. c UVG nicht mehr für weitere Behandlungs- resp. Pflegevorkehren und damit auch nicht mehr für die vom Beschwerdeführer beantragten orthopädischen Schuhzurichtungen und benötigten Spezialschuhe aufzukommen. In dem dem Beschwerdeführer bekannten, in SVR 2012 UV Nr. 6 S. 21 publizierten Urteil 8C_191/2011 hat sich das Bundesgericht eingehend mit dieser Bestimmung auseinandergesetzt und ist dabei mit ausführlicher Begründung zum Schluss gelangt, dass nach einem rentenausschliessenden Fallabschluss für Leistungen zur Erhaltung der verbleibenden Erwerbsfähigkeit im Sinne dieser Bestimmung kein Raum verbleibt. Die Vorbringen in der Beschwerdeschrift, welche sich in der Darlegung der mit dieser Erkenntnis nicht in Einklang stehenden Betrachtungsweise des Beschwerdeführers erschöpfen, bieten keine Veranlassung zu einer erneuten Prüfung dieser bereits beantworteten Rechtsfrage. Der eventualiter beantragten Abklärungen hinsichtlich der medizinischen Notwendigkeit weiterer Heilbehandlung für den Erhalt der verbliebenen resp. wiedererlangten Arbeitsfähigkeit bedarf es unter diesen Umständen nicht.</w:t>
      </w:r>
    </w:p>
    <w:p>
      <w:r>
        <w:rPr>
          <w:b/>
        </w:rPr>
        <w:t>E. 3</w:t>
      </w:r>
    </w:p>
    <w:p>
      <w:r>
        <w:t>Die Beschwerde wird im vereinfachten Verfahren nach Art. 109 BGG als offensichtlich unbegründet (Abs. 2 lit. a) mit summarischer Begründung und unter Verweis auf den vorinstanzlichen Entscheid (Abs. 3) ohne Durchführung eines Schriftenwechsels ( Art. 102 Abs. 1 BGG ) erledigt. Bei diesem Verfahrensausgang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