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590/2024 vom 11. November 2024</w:t>
      </w:r>
    </w:p>
    <w:p>
      <w:r>
        <w:t>Bundesgericht, 2024-11-11, DE</w:t>
      </w:r>
    </w:p>
    <w:p>
      <w:r>
        <w:rPr>
          <w:b/>
        </w:rPr>
        <w:t xml:space="preserve">Quelle: </w:t>
      </w:r>
      <w:r>
        <w:t>https://mcp.opencaselaw.ch/entscheid/bger_8C_590_2024</w:t>
      </w:r>
    </w:p>
    <w:p>
      <w:r>
        <w:t>FR: TF 8C 590/2024 du 11 novembre 2024</w:t>
      </w:r>
    </w:p>
    <w:p>
      <w:r>
        <w:t>IT: TF 8C 590/2024 del 11 novembre 2024</w:t>
      </w:r>
    </w:p>
    <w:p>
      <w:pPr>
        <w:pStyle w:val="Heading2"/>
      </w:pPr>
      <w:r>
        <w:t>Regeste</w:t>
      </w:r>
    </w:p>
    <w:p>
      <w:r>
        <w:t>Arbeitslosenversicherung (Prozessvoraussetzungen)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27. September 2024 den Nichteintretensentscheid des Beschwerdegegners vom 25. Juli 2024 auf die gegen die Verfügung vom 23. Mai 2024 erhobene Einsprache.</w:t>
      </w:r>
    </w:p>
    <w:p>
      <w:r>
        <w:rPr>
          <w:b/>
        </w:rPr>
        <w:t>E. 3</w:t>
      </w:r>
    </w:p>
    <w:p>
      <w:r>
        <w:t>Auf die dafür entscheidenden vorinstanzlichen Erwägungen geht die Beschwerdeführerin nicht ansatzweise ein. Allein um Ausrichtung von ihr (angeblich) zustehenden Geldern zu ersuchen, zielt an der Sache vorbei.</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Indessen darf die Beschwerdeführerin bei gleichbleibenden künftigen Eingaben an das Bundesgericht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