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8C_588/2024 vom 5. August 2025</w:t>
      </w:r>
    </w:p>
    <w:p>
      <w:r>
        <w:t>Bundesgericht, 2025-08-05, DE</w:t>
      </w:r>
    </w:p>
    <w:p>
      <w:r>
        <w:rPr>
          <w:b/>
        </w:rPr>
        <w:t xml:space="preserve">Quelle: </w:t>
      </w:r>
      <w:r>
        <w:t>https://mcp.opencaselaw.ch/entscheid/bger_8C_588_2024</w:t>
      </w:r>
    </w:p>
    <w:p>
      <w:r>
        <w:t>FR: TF 8C_588/2024 du 5 août 2025</w:t>
      </w:r>
    </w:p>
    <w:p>
      <w:r>
        <w:t>IT: TF 8C_588/2024 del 5 agosto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Bundesrecht verletzte, indem sie den rentenabweisenden Einspracheentscheid vom 2. April 2024 bestätigte. Nicht mehr umstritten ist die Verneinung des Anspruchs auf eine Integritätsentschädigung, sodass sich Weiterungen dazu erübrigen.</w:t>
      </w:r>
    </w:p>
    <w:p>
      <w:r>
        <w:rPr>
          <w:b/>
        </w:rPr>
        <w:t>E. 3</w:t>
      </w:r>
    </w:p>
    <w:p>
      <w:r>
        <w:t>Das kantonale Gericht hat die für die Beurteilung des Anspruchs auf Unfallversicherungsleistungen nach Gesetz und Rechtsprechung massgebenden Grundlagen richtig dargestellt. Darauf wird verwiesen ( Art. 109 Abs. 3 BGG ).</w:t>
      </w:r>
    </w:p>
    <w:p>
      <w:r>
        <w:rPr>
          <w:b/>
        </w:rPr>
        <w:t>E. 4.1</w:t>
      </w:r>
    </w:p>
    <w:p>
      <w:r>
        <w:t>Mit in allen Teilen überzeugender Begründung, worauf ebenfalls verwiesen wird ( Art. 109 Abs. 3 BGG ), hat die Vorinstanz nach eingehender Auseinandersetzung mit den medizinischen Akten und den Einwendungen der Beschwerdeführerin auch nur geringe Zweifel an der Beurteilung des Suva-Arztes Dr. med. C.________, Facharzt für Chirurgie, speziell Allgemeinchirurgie und Traumatologie, vom 16. September 2022 ausgeschlossen. Gestützt darauf ging das kantonale Gericht von einer vollständigen Arbeitsfähigkeit in einer den unfallbedingten Beschwerden angepassten Tätigkeit aus und verneinte nach Durchführung des Einkommensvergleichs einen Rentenanspruch der Beschwerdeführerin.</w:t>
      </w:r>
    </w:p>
    <w:p>
      <w:r>
        <w:rPr>
          <w:b/>
        </w:rPr>
        <w:t>E. 4.2</w:t>
      </w:r>
    </w:p>
    <w:p>
      <w:r>
        <w:t>Was die Beschwerdeführerin hiergegen vorbringt, ist offensichtlich unbegründet.</w:t>
      </w:r>
    </w:p>
    <w:p>
      <w:r>
        <w:rPr>
          <w:b/>
        </w:rPr>
        <w:t>E. 4.2.1</w:t>
      </w:r>
    </w:p>
    <w:p>
      <w:r>
        <w:t>Die Beschwerdeführerin vermisst zunächst eine nachvollziehbare Begründung für das von Dr. med. C.________ festgelegte Zumutbarkeitsprofil. Dieser habe sich zudem nicht zu den divergierenden Zumutbarkeitsbeurteilungen der involvierten Fachärzte geäussert. Dem ist entgegenzuhalten, dass der Versicherungsarzt in seiner Einschätzung ausschliesslich die Unfallfolgen berücksichtigte, wohingegen die behandelnden Ärzte sowie der Arzt des Regionalen Ärztlichen Dienstes (RAD), Dr. med. D.________, Facharzt für orthopädische Chirurgie und Traumatologie des Bewegungsapparates, in ihren abweichenden Zumutbarkeitsprofilen nicht nach unfallbedingten und weiteren, vorbestehenden Beschwerden differenzierten. Laut Dr. med. C.________ waren die Tests hinsichtlich der erlittenen Unfallverletzungen (insbesondere der Jobe-Test) weitgehend unauffällig, während er über dem AC-Gelenk, welches durch den Unfall unbestrittenermassen nicht verletzt worden war, eine Druckdolenz mit positivem Cross Body Test feststellte. Seine Einschätzung stützt sich im Übrigen auf die relevanten medizinischen Akten und eine eingehende klinische Untersuchung der Beschwerdeführerin. Zudem legte sie gemäss den vorinstanzlichen Feststellungen keine dem klinischen Befund widersprechenden Berichte ins Recht.</w:t>
      </w:r>
    </w:p>
    <w:p>
      <w:r>
        <w:rPr>
          <w:b/>
        </w:rPr>
        <w:t>E. 4.2.2</w:t>
      </w:r>
    </w:p>
    <w:p>
      <w:r>
        <w:t>Die Beschwerdeführerin macht sodann geltend, entgegen den Feststellungen der Vorinstanz habe der RAD-Arzt in seiner Beurteilung vom 21. April 2022 nur die Einschränkungen der rechten Schulter beurteilt und deshalb eine Arbeitsfähigkeit von 80 % in einer angepassten Tätigkeit attestiert. Indem die Vorinstanz jedoch festgehalten habe, der RAD-Arzt würde nicht spezifizieren, ob und gegebenenfalls welchen Beitrag die Unfallfolgen an diese Beurteilung leisteten, habe sie den Sachverhalt in aktenwidriger Weise festgestellt. Mit dem kantonalen Gericht ist allerdings festzuhalten, dass Dr. med. D.________ bereits im Dezember 2018, mithin vor dem Unfall, aufgrund von Arthrosen in den Daumen- und Kniegelenken eine Arbeitsfähigkeit von maximal 50 % in der angestammten Tätigkeit attestierte, während er in einer optimal angepassten, gelenkschonenden Tätigkeit (ohne Heben und Tragen über 5 kg) schon damals eine Arbeitsfähigkeit von 80 % als zumutbar erachtete. Das damalige Zumutbarkeitsprofil war somit ausschliesslich aufgrund von unfallfremden Beschwerden eingeschränkt. Da der RAD-Arzt im Bericht von April 2022 auch unter Berücksichtigung der neu hinzugetretenen, unfallbedingten Schulterbeschwerden zum gleichen Ergebnis gelangt wie im Dezember 2018, ist es nicht zu beanstanden, wenn die Vorinstanz zum Schluss kam, seine Stellungnahme vermöge keine auch nur geringen Zweifel an der Beurteilung des Dr. med. C.________ zu wecken.</w:t>
      </w:r>
    </w:p>
    <w:p>
      <w:r>
        <w:rPr>
          <w:b/>
        </w:rPr>
        <w:t>E. 4.2.3</w:t>
      </w:r>
    </w:p>
    <w:p>
      <w:r>
        <w:t>Mit Bezug auf die Beurteilung des Dr. med. E.________, Facharzt für Orthopädische Chirurgie und Traumatologie des Bewegungsapparates, vom 7. November 2022 ortet die Beschwerdeführerin ein widersprüchliches Verhalten des kantonalen Gerichts: Dieses habe zwar kritisiert, dass Dr. med. E.________ die Belastungsgrenze von maximal 5 kg nicht begründet habe, weshalb sie keine auch nur geringe Zweifel an der versicherungsmedizinischen Beurteilung wecke. Gleichzeitig habe sie aber auf das ebenso wenig begründete Zumutbarkeitsprofil des Suva-Arztes abgestellt. Die Beschwerdeführerin blendet allerdings aus, dass die Vorinstanz eine Begründung des Dr. med. E.________ zur Frage vermisste, weshalb die Unfallfolgen (und nur diese) einschränkender wirken sollten als von Dr. med. C.________ beurteilt. Im Übrigen kann zum Vorwurf, der Versicherungsmediziner habe seine Beurteilung ungenügend begründet, auf das bereits Gesagte verwiesen werden (s. E. 4.2.1).</w:t>
      </w:r>
    </w:p>
    <w:p>
      <w:r>
        <w:rPr>
          <w:b/>
        </w:rPr>
        <w:t>E. 4.2.4</w:t>
      </w:r>
    </w:p>
    <w:p>
      <w:r>
        <w:t>Hinsichtlich der erwerblichen Auswirkungen des Gesundheitsschadens rügt die Beschwerdeführerin einzig, dass die Vorinstanz keinen Leidensabzug vom anhand der LSE-Tabellenlöhne festgesetzten Invalideneinkommen vorgenommen habe. Sie beantragt einen Abzug von mindestens 10 %. Nicht gefolgt werden kann ihr zunächst, soweit sie in diesem Zusammenhang erneut das von Dr. med. C.________ definierte Zumutbarkeitsprofil bestreitet. Ebenso wenig zu helfen vermag ihr der unbestimmte Hinweis auf die vom Versicherungsarzt grundsätzlich anerkannten Schmerzen und seine Empfehlung, weitere Schmerzmittel seien zu gewähren, zumal sie an der Untersuchung vom 16. September 2022 selbst angegeben hatte, der Grossteil ihrer Beschwerden stehe im Zusammenhang mit den unfallfremden Beschwerden im AC-Gelenk. Auch im Hinblick auf die weiteren - pauschal angeführten - Umstände ist ein Abzug mit der Vorinstanz nicht angezeigt. Ihre längere Abwesenheit vom Arbeitsmarkt fällt aufgrund der Tätigkeit im Kompetenzniveau 1 nicht ins Gewicht (vgl. Urteil 8C_563/2018 vom 14. November 2018 E. 7.2.3). Das Gleiche gilt für ihr Alter; dabei kann die Frage, ob ausserhalb des Anwendungsbereichs von Art. 28 Abs. 4 UVV ein Abzug wegen fortgeschrittenen Alters zulässig sei, weiterhin offenbleiben (vgl. BGE 138 V 419 E. 8.3 mit Hinweisen).</w:t>
      </w:r>
    </w:p>
    <w:p>
      <w:r>
        <w:rPr>
          <w:b/>
        </w:rPr>
        <w:t>E. 5</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6</w:t>
      </w:r>
    </w:p>
    <w:p>
      <w:r>
        <w:t>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