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8C_588/2019 vom 26. November 2019</w:t>
      </w:r>
    </w:p>
    <w:p>
      <w:r>
        <w:t>Bundesgericht, 2019-11-26, DE</w:t>
      </w:r>
    </w:p>
    <w:p>
      <w:r>
        <w:rPr>
          <w:b/>
        </w:rPr>
        <w:t xml:space="preserve">Quelle: </w:t>
      </w:r>
      <w:r>
        <w:t>https://mcp.opencaselaw.ch/entscheid/bger_8C_588_2019</w:t>
      </w:r>
    </w:p>
    <w:p>
      <w:r>
        <w:t>FR: TF 8C_588/2019 du 26 novembre 2019</w:t>
      </w:r>
    </w:p>
    <w:p>
      <w:r>
        <w:t>IT: TF 8C_588/2019 del 26 novembre 2019</w:t>
      </w:r>
    </w:p>
    <w:p>
      <w:pPr>
        <w:pStyle w:val="Heading2"/>
      </w:pPr>
      <w:r>
        <w:t>Erwägungen</w:t>
      </w:r>
    </w:p>
    <w:p>
      <w:r>
        <w:rPr>
          <w:b/>
        </w:rPr>
        <w:t>E. 1.1</w:t>
      </w:r>
    </w:p>
    <w:p>
      <w:r>
        <w:t>Der Hausarzt der Beschwerdeführerin reichte am 10. September 2019 beim kantonalen Gericht ein Schreiben ein. Auch auf Aufforderung des Bundesgerichts hin, dem dieses Schreiben zuständigkeitshalber überwiesen wurde, brachte der Arzt keine schriftliche Vollmacht bei. Da die Beschwerdeführerin jedoch am 23. September 2019 - und damit noch innerhalb der Beschwerdefrist nach Art. 100 Abs. 1 BGG - vertreten durch einen Rechtsanwalt eine gültige Beschwerde einreichte, kann auf Weiterungen zum Schreiben vom 10. September 2019 verzichtet werden.</w:t>
      </w:r>
    </w:p>
    <w:p>
      <w:r>
        <w:rPr>
          <w:b/>
        </w:rPr>
        <w:t>E. 1.2</w:t>
      </w:r>
    </w:p>
    <w:p>
      <w:r>
        <w:t>Die Voraussetzungen der Beschwerde in öffentlich-rechtlichen Angelegenheiten sind grundsätzlich gegeben (Art. 82 lit. a, Art. 83</w:t>
      </w:r>
    </w:p>
    <w:p>
      <w:r>
        <w:t>e contrario , Art. 86 Abs. 1 lit. d und Abs. 2, Art. 89 Abs. 1, Art. 90 und Art. 100 Abs. 1 BGG ).</w:t>
      </w:r>
    </w:p>
    <w:p>
      <w:r>
        <w:rPr>
          <w:b/>
        </w:rPr>
        <w:t>E. 1.3</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1.4</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 hat, als sie die Befristung des Rentenanspruchs auf den 30. Juni 2018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Die Rente wird von Amtes wegen oder auf Gesuch hin für die Zukunft entsprechend erhöht, herabgesetzt oder aufgehoben ( Art. 17 Abs. 1 ATSG ; Art. 88a IVV ), wenn sich der Invaliditätsgrad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Nach der Rechtsprechung sind diese Revisionsbestimmungen bei der rückwirkenden Zusprechung einer abgestuften oder befristeten Rente analog anwendbar (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8C_458/2017 vom 6. August 2018 E. 2 mit Hinweisen).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im revisionsrechtlichen Kontext unbeachtlich ( BGE 141 V 9 E. 2.3 S. 10 f. mit Hinweisen).</w:t>
      </w:r>
    </w:p>
    <w:p>
      <w:r>
        <w:rPr>
          <w:b/>
        </w:rPr>
        <w:t>E. 4.1</w:t>
      </w:r>
    </w:p>
    <w:p>
      <w:r>
        <w:t>Das kantonale Gericht hat in umfassender Würdigung der medizinischen Akten, insbesondere aber unter Berücksichtigung der Stellungnahme des Arztes Dr. med. D.________, Regionaler Ärztlicher Dienst (RAD), vom 8. Mai 2018, für das Bundesgericht grundsätzlich verbindlich festgestellt, dass sich der Gesundheitszustand der Versicherten ab April 2018 verbessert hat und sie nunmehr in der Lage ist, eine leidensangepasste Tätigkeit mit einer Einschränkung von ca. 20 % auszuüben. Was die Beschwerdeführerin gegen diese Feststellung vorbringt, vermag sie - wie nachstehende Erwägungen zeigen - nicht als bundesrechtswidrig erscheinen zu lassen.</w:t>
      </w:r>
    </w:p>
    <w:p>
      <w:r>
        <w:rPr>
          <w:b/>
        </w:rPr>
        <w:t>E. 4.2</w:t>
      </w:r>
    </w:p>
    <w:p>
      <w:r>
        <w:t>Der Beschwerdeführerin ist zwar dahingehend beizupflichten, dass auf die Berichte versicherungsinterner Ärzte rechtsprechungs-</w:t>
      </w:r>
    </w:p>
    <w:p>
      <w:r>
        <w:t>gemäss nur (aber immerhin) dann abgestellt werden kann, wenn auch keine geringe Zweifel an der Richtigkeit ihrer Schlussfolgerungen bestehen ( BGE 135 V 465 E. 4.7 S. 471). Bei einer näheren Betrachtung der medizinischen Aktenlage ergibt sich indessen, dass die Schlussfolgerungen des RAD-Arztes im Einklang mit jenen der behandelnden Spezialärzte stehen. So hat Dr. med. E.________, Oberärztin Kardiologie am Herzzentrum des Spitals F.________, bereits in ihrem Bericht vom 18. Juli 2014 festgehalten, die Versicherte sei kardial kompensiert und beschwerdefrei. Bezüglich des Hirninfarktes hielten Dr. med. G.________ und med. prakt. H.________, Zentrum für Neurologie und Neurorehabilitation des Spitals F.________, am 13. Februar 2016 fest, dieser sei ohne Relevanz für die aktuelle Diagnose. Aus epileptologischer Sicht hielt schliesslich Dr. med. I.________, Assistenzärztin am Zentrum für Neurologie und Neurorehabilitation des Spitals F.________, am 16. April 2018 fest, aufgrund der Abwesenheit weiterer (manifester) epileptischer Anfälle seit mindestens September 2017 bestehe nunmehr eine 100 %-ige Arbeitsfähigkeit, sofern Gefahrenpotentiale und Provokationsfaktoren bei der Arbeit vermieden werden könnten.</w:t>
      </w:r>
    </w:p>
    <w:p>
      <w:r>
        <w:rPr>
          <w:b/>
        </w:rPr>
        <w:t>E. 4.3</w:t>
      </w:r>
    </w:p>
    <w:p>
      <w:r>
        <w:t>Zwar trifft es zu, dass geringe Zweifel an der Richtigkeit der Schlussfolgerungen versicherungsinterner Ärzte grundsätzlich auch durch die Stellungnahme behandelnder Ärzte oder Hausärzte geweckt werden könnten. Ob dies auch dann zutrifft, wenn der behandelnde Arzt im Namen seiner Patientin Eingaben an ein Gericht verfasst und damit ein eigentlicher Rollenwechsel weg von der ärztlichen Tätigkeit stattfindet, erscheint zweifelhaft (vgl. Urteil 8C_78/2018 vom 6. Juni 2018 E. 4.2), braucht vorliegend jedoch nicht abschliessend geprüft zu werden: Die von den Einschätzungen des RAD-Arztes und der behandelnden Spezialärzten wesentlich abweichende Würdigung des Hausarztes der Versicherten in seinem Bericht vom 25. Februar 2019, wonach jede der drei Diagnosen (Kleinhirninfarkt, Mitralklappenersatz, Epilepsie) für sich alleine schon Grund genug wäre, der Versicherten eine dauerhafte Erwerbsunfähigkeit zu bescheinigen, ist nicht näher begründet. Für die vorliegend streitigen Belange unerheblich ist sodann, ob die Epilepsie als posttraumatisch oder als kryptogen angesehen wird. So oder anders erscheint es somit nicht als offensichtlich unrichtig, wenn das kantonale Gericht die Berichte des med. prakt. C.________, insbesondere jenen vom 25. Februar 2019, nicht als genügenden Anlass zu auch nur geringen Zweifel an den Schlussfolgerungen des RAD-Arztes Dr. med. D.________ erachtete und unter Verzicht auf weitere medizinische Abklärungen von einem ab April 2018 wesentlich verbesserten Gesundheitszustand ausging.</w:t>
      </w:r>
    </w:p>
    <w:p>
      <w:r>
        <w:rPr>
          <w:b/>
        </w:rPr>
        <w:t>E. 4.4</w:t>
      </w:r>
    </w:p>
    <w:p>
      <w:r>
        <w:t>Für die Zeit ab April 2018 ermittelte das kantonale Gericht einen rentenauschliessenden Invaliditätsgrad von 18 % (bzw., bei einem maximal zulässigen Abzug vom Tabellenlohn [vgl. BGE 129 V 472 ], einen Invaliditätsgrad von 28 %). Die diesbezüglichen Erwägungen werden letztinstanzlich nicht substanziiert bestritten, so dass die Beschwerde ohne Weiterungen abzuweisen ist.</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