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8C_587/2016 vom 30. September 2016</w:t>
      </w:r>
    </w:p>
    <w:p>
      <w:r>
        <w:t>Bundesgericht, 2016-09-30, DE</w:t>
      </w:r>
    </w:p>
    <w:p>
      <w:r>
        <w:rPr>
          <w:b/>
        </w:rPr>
        <w:t xml:space="preserve">Quelle: </w:t>
      </w:r>
      <w:r>
        <w:t>https://mcp.opencaselaw.ch/entscheid/bger_8C_587_2016</w:t>
      </w:r>
    </w:p>
    <w:p>
      <w:r>
        <w:t>FR: TF 8C_587/2016 du 30 septembre 2016</w:t>
      </w:r>
    </w:p>
    <w:p>
      <w:r>
        <w:t>IT: TF 8C_587/2016 del 30 settembre 2016</w:t>
      </w:r>
    </w:p>
    <w:p>
      <w:pPr>
        <w:pStyle w:val="Heading2"/>
      </w:pPr>
      <w:r>
        <w:t>Volltext</w:t>
      </w:r>
    </w:p>
    <w:p>
      <w:r>
        <w:t>Bundesgericht</w:t>
      </w:r>
    </w:p>
    <w:p>
      <w:r>
        <w:t>Tribunal fédéral</w:t>
      </w:r>
    </w:p>
    <w:p>
      <w:r>
        <w:t>Tribunale federale</w:t>
      </w:r>
    </w:p>
    <w:p>
      <w:r>
        <w:t>Tribunal federal</w:t>
      </w:r>
    </w:p>
    <w:p>
      <w:r>
        <w:t>{T 0/2}</w:t>
      </w:r>
    </w:p>
    <w:p>
      <w:r>
        <w:t>8C_587/2016</w:t>
      </w:r>
    </w:p>
    <w:p>
      <w:r>
        <w:t>Urteil vom 30. September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Kantonsgerichts Luzern, 3. Abteilung, vom 27. Juli 2016.</w:t>
      </w:r>
    </w:p>
    <w:p>
      <w:r>
        <w:t>Nach Einsicht</w:t>
      </w:r>
    </w:p>
    <w:p>
      <w:r>
        <w:t>in die Beschwerde vom 12. September 2016 (Poststempel) gegen den Entscheid des Kantonsgerichts Luzern vom 27. Juli 2016,</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die Vorinstanz in Auseinandersetzung mit den Parteivorbringen und Würdigung der Akten die dem Leiden des Beschwerdeführers entsprechende, in einem Vollzeitpensum ausübbare Tätigkeit im Wesentlichen gestützt auf die kreisärztlichen Berichte von Dr. med. B.________ vom 13. Juli und 18. September 2015 als nur noch leicht, gelegentlich auch mittelschwer umschrieb, wobei mit dem rechten Arm nur körpernah und unterhalb der Horizontalen auszuführende Tätigkeiten in Frage kämen, die zudem nicht nach von aussen vorgegebenem Takt repetitiv ausgeführt werden dürften,</w:t>
      </w:r>
    </w:p>
    <w:p>
      <w:r>
        <w:t>dass das kantonale Gericht gestützt darauf den Invaliditätsgrad in Anwendung der ordentlichen Bemessungsmethode festlegte,</w:t>
      </w:r>
    </w:p>
    <w:p>
      <w:r>
        <w:t>dass der Beschwerdeführer dies zwar kritisiert, ohne indessen auf die dazu ergangenen Erwägungen hinreichend konkret einzugehen,</w:t>
      </w:r>
    </w:p>
    <w:p>
      <w:r>
        <w:t>dass es insbesondere nicht ausreicht, lediglich Gegenteiliges zu behaupten und etwa pauschal auf Arztberichte zu verweisen, zu welchen das kantonale Gericht im angefochtenen Entscheid bereits ausgeführt hat, die darin befindlichen Einschätzungen zur Restarbeitsfähigkeit seien nicht auf eine dem Leiden angepasste Tätigkeit ausgerichtet, sondern bezögen sich auf die bisher ausgeübte, nicht vollumfänglich diesem Tätigkeitsprofil entsprechende Arbeit,</w:t>
      </w:r>
    </w:p>
    <w:p>
      <w:r>
        <w:t>dass dieser Begründungsmangel offensichtlich ist,</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30. September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