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8C_586/2011 vom 9. Dezember 2011</w:t>
      </w:r>
    </w:p>
    <w:p>
      <w:r>
        <w:t>Bundesgericht, 2011-12-09, DE</w:t>
      </w:r>
    </w:p>
    <w:p>
      <w:r>
        <w:rPr>
          <w:b/>
        </w:rPr>
        <w:t xml:space="preserve">Quelle: </w:t>
      </w:r>
      <w:r>
        <w:t>https://mcp.opencaselaw.ch/entscheid/bger_8C_586_2011</w:t>
      </w:r>
    </w:p>
    <w:p>
      <w:r>
        <w:t>FR: TF 8C_586/2011 du 9 décembre 2011</w:t>
      </w:r>
    </w:p>
    <w:p>
      <w:r>
        <w:t>IT: TF 8C_586/2011 del 9 dicembre 2011</w:t>
      </w:r>
    </w:p>
    <w:p>
      <w:pPr>
        <w:pStyle w:val="Heading2"/>
      </w:pPr>
      <w:r>
        <w:t>Erwägungen</w:t>
      </w:r>
    </w:p>
    <w:p>
      <w:r>
        <w:rPr>
          <w:b/>
        </w:rPr>
        <w:t>E. 1</w:t>
      </w:r>
    </w:p>
    <w:p>
      <w:r>
        <w:t>Die Vorinstanz hat die Sache unter Aufhebung der angefochtenen Einspracheentscheide (soweit nicht den versicherten Verdienst betreffend) zur Vornahme weiterer Abklärungen (Aktenergänzung sowie Einholung eines externen polydisziplinären Gutachtens) und zu anschliessendem neuem Verfügungserlass an die Beschwerdeführerin zurückgewiesen. Es liegt somit ein Zwischenentscheid vor, der nicht im Sinne von Art. 92 BGG die Zuständigkeit oder den Ausstand betrifft und daher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t>Eine Gutheissung der Beschwerde würde zwar einen sofortigen Endentscheid herbeiführen; durch die Aufhebung kantonaler Rückweisungsentscheide, mit denen einzig eine ergänzende Sachverhaltsabklärung angeordnet wird, kann indessen nach ständiger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(Urteile 8C_778/2010 vom 18. Oktober 2010, 8C_593/2008 vom 4. August 2008 E. 4, 8C_742/2007 vom 4. April 2008 E. 3, 8C_222/2007 vom 5. Mai 2008 E. 3, 8C_222/2008 vom 13. Juni 2008 E. 3 und 8C_575/2008 vom 24. Juli 2008 E. 4; vgl. statt vieler nunmehr Urteil 8C_1038/2008 vom 20. April 2009 E. 2.2 mit Hinweisen).</w:t>
      </w:r>
    </w:p>
    <w:p>
      <w:r>
        <w:rPr>
          <w:b/>
        </w:rPr>
        <w:t>E. 2</w:t>
      </w:r>
    </w:p>
    <w:p>
      <w:r>
        <w:t>Zu prüfen bleibt, ob der angefochtene Entscheid einen nicht wieder gutzumachenden Nachteil im Sinne von Art. 93 Abs. 1 lit. a BGG bewirken kann.</w:t>
      </w:r>
    </w:p>
    <w:p>
      <w:r>
        <w:rPr>
          <w:b/>
        </w:rPr>
        <w:t>E. 2.1</w:t>
      </w:r>
    </w:p>
    <w:p>
      <w:r>
        <w:t>Massgebend dafür ist, ob der Nachteil auch mit einem für die Beschwerdeführerin günstigen Entscheid in Zukunft nicht behoben werden kann. 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Urteile 8C_531/2008 vom 8. April 2009 E. 1.2.1 mit Hinweisen, nicht publ. in: BGE 135 V 279 , aber in: SVR 2009 UV Nr. 40 S. 137, und 8C_682/2007 vom 30. Juli 2008 E. 1.2.1, nicht publ. in: BGE 134 V 392 , aber in: SVR 2008 UV Nr. 31 S. 115).</w:t>
      </w:r>
    </w:p>
    <w:p>
      <w:r>
        <w:rPr>
          <w:b/>
        </w:rPr>
        <w:t>E. 2.2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113 V 159 ). Die Anfechtbarkeit von Zwischenentscheiden wurde im BGG zwar neu geregelt; an der Verbindlichkeit des auf die Erwägungen verweisenden kantonalen Rückweisungsentscheides für die Verwaltung im Falle der Nichtanfechtung hat sich mit dem Inkrafttreten des BGG am 1. Januar 2007 indessen nichts geändert (Urteil 9C_703/2009 vom 30. Oktober 2009 E. 2.2 mit Hinweisen).</w:t>
      </w:r>
    </w:p>
    <w:p>
      <w:r>
        <w:rPr>
          <w:b/>
        </w:rPr>
        <w:t>E. 2.3</w:t>
      </w:r>
    </w:p>
    <w:p>
      <w:r>
        <w:t>Dispositiv-Ziffer 1 des vorinstanzlichen Entscheids weist die Sache im Sinne der Erwägungen an die SUVA zurück. Insoweit der Versicherte im kantonalen Verfahren einen höheren versicherten Verdienst beantragte, drang er nicht durch, weshalb die SUVA diesbezüglich nicht beschwert ist. Dies wird von ihr auch nicht geltend gemacht.</w:t>
      </w:r>
    </w:p>
    <w:p>
      <w:r>
        <w:t>Der Entscheid verweist zwar auf die Erwägungen, bezieht sich damit aber einzig auf die angeordnete Aktenergänzung, namentlich mit dem im Rahmen der Invalidenversicherung veranlassten Gutachten des Begutachtungszentrums Z.________ vom 26. Februar 2009, sowie die Einholung eines polydisziplinären Gutachtens, welches sich zum Vorliegen und Dauer der unfallkausalen gesundheitlichen Folgen sowie deren Auswirkung auf die Restarbeitsfähigkeit zu äussern haben wird. Dass das kantonale Gericht damit der von der SUVA vorinstanzlich beantragten reformatio in peius im Rentenpunkt nicht gefolgt ist und die Sache auch hinsichtlich des strittigen Integritätsschadens nicht als spruchreif ansah, stellt für die SUVA keinen nicht wieder gutzumachenden Nachteil dar. Die Vorinstanz hat sich weder bezüglich der beantragten reformatio in peius noch bezüglich der Integritätsentschädigung verbindlich geäussert. Der angefochtene Entscheid enthält demnach keine materiell-rechtlichen Vorgaben, welche die Beschwerdeführerin zwingen, einen ihres Erachtens rechtswidrigen neuen Entscheid zu erlassen, der nicht mehr richterlich überprüft werden könnte (vgl. BGE 133 V 477 E. 5.2.4 S. 484 und Urteile 8C_110/2011 vom 18. März 2011 E. 3, 8C_362/2007 vom 16. Januar 2008 E. 2.2, 8C_593/2008 vom 4. August 2008 E. 3 sowie 8C_575/2008 vom 24. Juli 2008 E. 3).</w:t>
      </w:r>
    </w:p>
    <w:p>
      <w:r>
        <w:t>Bei festgestellter Abklärungsbedürftigkeit verletzt die Rückweisung der Sache - entgegen der Ansicht der SUVA - auch nicht den gerichtlichen Rechtsschutz oder ihr rechtliches Gehör (vgl. BGE 122 V 157 E. 1d). Das kantonale Gericht hat zudem keine weiteren Sachverhaltsfeststellungen getroffen, welche für die Beschwerdeführerin in dem Sinne verbindlich wären, dass sie nach Vorliegen des Gutachtens von ihr nicht korrigiert werden könnten. Art. 93 Abs. 1 lit. a BGG ist damit nicht erfüllt. Dies gilt praxisgemäss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vermag rechtsprechungsgemäss dem Nachteil an sich unnötiger Abklärungen nicht rechtlichen Charakter zu geben (Urteile 8C_121/2011 vom 30. Juni 2011 E. 3.2.3, 8C_110/2011 vom 18. März 2011 E. 3, 8C_1053/2010 vom 26. Januar 2011 E. 2.2, 8C_530/2010 vom 24. Januar 2011 E. 2.2, 8C_778/2010 vom 18. Oktober 2010, 8C_593/2008 vom 4. August 2008 E. 3, 9C_301/2007 vom 28. September 2007 E. 2.2, 8C_78/2008 vom 9. Juli 2008 E. 2 und 8C_575/2008 vom 24. Juli 2008 E. 3). Damit droht der Beschwerdeführerin durch den Rückweisungsentscheid des kantonalen Gerichts in keiner Hinsicht ein nicht wieder gutzumachender Nachteil.</w:t>
      </w:r>
    </w:p>
    <w:p>
      <w:r>
        <w:rPr>
          <w:b/>
        </w:rPr>
        <w:t>E. 3</w:t>
      </w:r>
    </w:p>
    <w:p>
      <w:r>
        <w:t>Die Gerichtskosten sind bei diesem Verfahrensausgang der Beschwerdeführerin aufzuerlegen ( Art. 66 Abs. 1 BGG ). Sie hat ausserdem dem Beschwerdegegner die Parteikosten für das vorliegende Verfahren zu ersetzen ( Art. 68 Abs.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