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8C_585/2022 vom 30. November 2022</w:t>
      </w:r>
    </w:p>
    <w:p>
      <w:r>
        <w:t>Bundesgericht, 2022-11-30, FR</w:t>
      </w:r>
    </w:p>
    <w:p>
      <w:r>
        <w:rPr>
          <w:b/>
        </w:rPr>
        <w:t xml:space="preserve">Quelle: </w:t>
      </w:r>
      <w:r>
        <w:t>https://mcp.opencaselaw.ch/entscheid/bger_8C_585_2022</w:t>
      </w:r>
    </w:p>
    <w:p>
      <w:r>
        <w:t>FR: TF 8C_585/2022 du 30 novembre 2022</w:t>
      </w:r>
    </w:p>
    <w:p>
      <w:r>
        <w:t>IT: TF 8C_585/2022 del 30 novembre 2022</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138 I 171 consid. 1.4).</w:t>
      </w:r>
    </w:p>
    <w:p>
      <w:r>
        <w:rPr>
          <w:b/>
        </w:rPr>
        <w:t>E. 2.1</w:t>
      </w:r>
    </w:p>
    <w:p>
      <w:r>
        <w:t>Dans leur arrêt du 25 mai 2022, les premiers juges ont retenu que la recourante n'avait pas respecté ses obligations d'assurée en ne donnant pas suite à la demande de sa conseillère de lui transmettre une attestation de garde de son enfant. La recourante, qui devait être disponible pour un éventuel emploi, ne pouvait pas exiger de pouvoir emmener sa fille au travail. C'était ainsi volontairement et sans justification valable qu'elle n'avait pas suivi les instructions de sa conseillère, laquelle ne s'était pas opposée à son projet de travailler dans l'accueil d'enfants mais avait seulement estimé que l'intéressée devait continuer de travailler dans le nettoyage en attendant de suivre la formation requise pour l'activité souhaitée. Par conséquent, la recourante ne pouvait pas être mise au bénéfice de la protection de sa bonne foi au sens de l' art. 25 al. 1 LPGA (RS 830.1).</w:t>
      </w:r>
    </w:p>
    <w:p>
      <w:r>
        <w:rPr>
          <w:b/>
        </w:rPr>
        <w:t>E. 2.2</w:t>
      </w:r>
    </w:p>
    <w:p>
      <w:r>
        <w:t>Dans son écriture, la recourante se limite à discuter de sa santé psychique ainsi que de sa capacité à "gérer [son] administratif avant de prendre une décision", qui aurait dû selon elle être vérifiée auprès de médecins et de certaines institutions. Elle requiert en outre la "présence" de certains témoins et se dit prête à se présenter devant le Tribunal fédéral si nécessaire. Son recours ne contient toutefois aucune conclusion ni aucune critique à l'encontre de la motivation de la juridiction cantonale. A cet égard, elle n'expose pas, même brièvement, en quoi l'acte attaqué violerait le droit. Le recours ne répond ainsi manifestement pas aux exigences de l' art. 42 al. 1 et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