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8C_585/2009 vom 5. Januar 2010</w:t>
      </w:r>
    </w:p>
    <w:p>
      <w:r>
        <w:t>Bundesgericht, 2010-01-05, DE</w:t>
      </w:r>
    </w:p>
    <w:p>
      <w:r>
        <w:rPr>
          <w:b/>
        </w:rPr>
        <w:t xml:space="preserve">Quelle: </w:t>
      </w:r>
      <w:r>
        <w:t>https://mcp.opencaselaw.ch/entscheid/bger_8C_585_2009</w:t>
      </w:r>
    </w:p>
    <w:p>
      <w:r>
        <w:t>FR: TF 8C_585/2009 du 5 janvier 2010</w:t>
      </w:r>
    </w:p>
    <w:p>
      <w:r>
        <w:t>IT: TF 8C_585/2009 del 5 gennaio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(Urteile 9C_161/2009 vom 18. September 2009 E. 1.2, 9C_410/2008 vom 8. September 2008 E. 3.3.1 und 9C_801/2008 vom 6. Januar 2009 E. 2.2).</w:t>
      </w:r>
    </w:p>
    <w:p>
      <w:r>
        <w:rPr>
          <w:b/>
        </w:rPr>
        <w:t>E. 2</w:t>
      </w:r>
    </w:p>
    <w:p>
      <w:r>
        <w:t>Das kantonale Gericht und die IV-Stelle, auf deren Verfügung der angefochtene Entscheid verweist, haben die Bestimmungen und Grundsätze über den Umfang des Anspruchs auf eine Invalidenrente ( Art. 28 Abs. 1 IVG ) und die Bemessung des Invaliditätsgrades bei erwerbstätigen Versicherten nach der allgemeinen Methode des Einkommensvergleichs ( Art. 28 Abs. 2 IVG in Verbindung mit Art. 16 ATSG ) zutreffend dargelegt. Gleiches gilt für die Ausführungen zur Aufgabe des Arztes oder der Ärztin im Rahmen der Invaliditätsbemessung (vgl. auch BGE 125 V 256 E. 4 S. 261 mit Hinweisen) sowie zum Beweiswert und zur Beweiswürdigung medizinischer Berichte und Gutachten ( BGE 122 V 157 E. 1c S. 160 mit Hinweisen; vgl. auch BGE 125 V 351 E. 3 S. 352 mit Hinweisen). Darauf wird verwiesen.</w:t>
      </w:r>
    </w:p>
    <w:p>
      <w:r>
        <w:rPr>
          <w:b/>
        </w:rPr>
        <w:t>E. 3</w:t>
      </w:r>
    </w:p>
    <w:p>
      <w:r>
        <w:t>Strittig und zunächst zu prüfen ist, in welchem Ausmass die Beschwerdeführerin durch ihre gesundheitlichen Beeinträchtigungen in der Leistungsfähigkeit eingeschränkt ist.</w:t>
      </w:r>
    </w:p>
    <w:p>
      <w:r>
        <w:rPr>
          <w:b/>
        </w:rPr>
        <w:t>E. 3.1</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 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Die konkrete Beweiswürdigung sodann stellt eine Tatfrage dar. Dagegen steht eine frei überprüfbare Rechtsfrage zur Diskussion, soweit gerügt wird, das kantonale Gericht habe den Grundsatz der freien Beweiswürdigung ( BGE 125 V 351 E. 3a S. 352) und die daraus fliessende Pflicht zu umfassender, sorgfältiger, objektiver und inhaltsbezogener Würdigung der medizinischen Berichte und Stellungnahmen ( BGE 132 V 393 E. 4.1 S. 400) sowie den Untersuchungsgrundsatz ( Art. 61 lit. c ATSG ) verletzt.</w:t>
      </w:r>
    </w:p>
    <w:p>
      <w:r>
        <w:rPr>
          <w:b/>
        </w:rPr>
        <w:t>E. 3.2</w:t>
      </w:r>
    </w:p>
    <w:p>
      <w:r>
        <w:t>Das kantonale Gericht hat nach eingehender Auseinandersetzung mit den medizinischen Unterlagen nachvollziehbar dargelegt, weshalb es auf die Beurteilung der trotz Gesundheitsschäden verbleibenden Leistungsfähigkeit gemäss ausführlichem Untersuchungsbericht der RAD-Ärztin Dr. med. W.________ vom 20. Oktober 2005 (nachfolgend: RAD-Bericht) und nicht auf das Parteigutachten des Instituts X.________ abstellte. Basierend auf der umfassenden Beweiswürdigung gelangte es zur Überzeugung, dass die Versicherte in einer angepassten Tätigkeit zu 70% arbeitsfähig ist.</w:t>
      </w:r>
    </w:p>
    <w:p>
      <w:r>
        <w:rPr>
          <w:b/>
        </w:rPr>
        <w:t>E. 3.3</w:t>
      </w:r>
    </w:p>
    <w:p>
      <w:r>
        <w:t>Der im kantonalen Verfahren neu eingereichte Bericht der seit 28. Juli 2008 behandelnden Rheumatologin Dr. med. H.________ datiert vom 13. Oktober 2008 und bezieht sich auf einen Zeitraum mehr als ein Jahr nach Erlass der Verfügung vom 5. Juli 2007. Ist praxisgemäss der im Zeitpunkt des Verfügungserlasses eingetretene Sachverhalt für die hier vorzunehmende Beurteilung massgebend ( BGE 131 V 242 E. 2.1 S. 243; 121 V 362 E. 1b S. 366), ist nicht zu beanstanden, dass die Vorinstanz diesen Bericht der Dr. med. H.________ unbeachtet liess. Entgegen der Beschwerdeführerin berücksichtigte der RAD-Bericht auch die angeblich nur im Gutachten des Instituts X.________ umfassend beurteilten Beschwerden. Obwohl die Darstellung der Diagnose etwas kurz ausgefallen ist, kommt in der Anamnese und in der Beurteilung des RAD-Berichts klar zum Ausdruck, dass die RAD-Ärztin den Prozess der rheumatoiden Arthritis auch in den Fuss- und Sprunggelenken, der Wirbelsäule und den Schultergelenken ebenso mitberücksichtigte wie eine Fehlstatik, welche wahrscheinlich auch durch die eventuell entzündlich bedingten Knickplattfüsse mit Hallux valgus mit ausgelöst wurde. Von einer Verletzung der Begründungspflicht oder einer rechtsfehlerhaften Sachverhaltsfeststellung des kantonalen Gerichts kann hinsichtlich des Abstellens auf die Leistungsfähigkeitsbeurteilung der RAD-Ärztin keine Rede sein.</w:t>
      </w:r>
    </w:p>
    <w:p>
      <w:r>
        <w:rPr>
          <w:b/>
        </w:rPr>
        <w:t>E. 3.4</w:t>
      </w:r>
    </w:p>
    <w:p>
      <w:r>
        <w:t>Die RAD-Ärztin Dr. med. M.________ legte im Protokolleintrag vom 22. November 2006 nachvollziehbar und überzeugend dar, dass das Gutachten des Instituts X.________ im Gegensatz zum RAD-Bericht von einer dem Leiden der Versicherten nicht optimal angepassten Tätigkeit als Fachberatung im Verkauf eines Gärtnereibetriebes ausgegangen sei. Diese im Zeitpunkt der Begutachtung des Instituts X.________ (September 2006) befristet vom 1. April bis 30. Oktober 2006 ausgeübte Arbeit beinhaltete sowohl in Bezug auf die Kundenberatung als auch bei der Pflanzenpflege einen hohen, stehend zu verrichtenden Beschäftigungsanteil, weshalb dieses Stellenanforderungsprofil der schmerzbedingt reduzierten Geh- und Stehfähigkeit nicht angepasst war. Demgegenüber umschrieb der RAD-Bericht bereits am 20. Oktober 2005 eine besser angepasste Beschäftigung als wechselbelastende, vorwiegend sitzende Tätigkeit ohne erhöhten Anspruch an Feinmotorik, Geschicklichkeit und Handkraft. Laut Angaben des behandelnden Rheumatologen Dr. med. A.________ war insbesondere die Tätigkeit als Fachlehrerin im Gartenbauwesen für die Beschwerdeführerin ganz gut zu bewältigen. Zutreffend weist das kantonale Gericht in der Vernehmlassung vom 27. August 2009 darauf hin, dass der Versicherten basierend auf der massgebenden Beurteilung des RAD-Berichts die von 1999 bis 2002 ausgeübte Dozententätigkeit trotz gesundheitlicher Einschränkungen bei einer Leistungsfähigkeit von 70% zumutbar geblieben ist, dass sie jedoch diese Stelle aus invaliditätsfremden Gründen infolge einer rückläufigen Nachfrage verloren hat.</w:t>
      </w:r>
    </w:p>
    <w:p>
      <w:r>
        <w:rPr>
          <w:b/>
        </w:rPr>
        <w:t>E. 3.5</w:t>
      </w:r>
    </w:p>
    <w:p>
      <w:r>
        <w:t>Das von der Beschwerdeführerin auf eigene Kosten selber veranlasste Gutachten des Instituts X.________ vom 10. November 2006 war, wie die IV-Stelle bereits am 6. Februar 2006 gestützt auf eine Beurteilung der RAD-Ärztin Dr. med. M.________ (gemäss Protokolleintrag vom 4. Januar 2006) ausdrücklich festgehalten hatte, unter den hier gegebenen Umständen zur Feststellung der massgebenden medizinischen Verhältnisse nicht erforderlich. Insofern ist der Sachverhalt - entgegen der Versicherten - nicht mit demjenigen zu vergleichen, welcher dem Urteil 8C_547/2008 vom 16. Januar 2009 (auszugsweise publiziert in SVR 2009 IV Nr. 26 S. 73) zugrunde lag. War das Parteigutachten für die Entscheidfindung nicht notwendig ( BGE 115 V 62 ; Urteil I 1008/06 vom 24. April 2007 E. 3.1 mit Hinweisen) und hat die Vorinstanz darauf nicht abgestellt, besteht - selbst im Falle des Obsiegens der die Expertise beibringenden, Beschwerde führenden Partei - kein Anspruch auf Ersatz der Expertenkosten (Urteil des Eidg. Versicherungsgerichts I 228/98 vom 23. November 1998 E. 3b).</w:t>
      </w:r>
    </w:p>
    <w:p>
      <w:r>
        <w:rPr>
          <w:b/>
        </w:rPr>
        <w:t>E. 4</w:t>
      </w:r>
    </w:p>
    <w:p>
      <w:r>
        <w:t>Im Weiteren beanstandet die Beschwerdeführerin die Ermittlung des Validen- und des Invalideneinkommens sowie den Invaliditätsgrad. Ohne sich auf einen konkreten Einkommensvergleich festzulegen, macht die Versicherte einen Invaliditätsgrad von "mehr als 70%" geltend, weshalb sie Anspruch auf eine ganze Invalidenrente habe.</w:t>
      </w:r>
    </w:p>
    <w:p>
      <w:r>
        <w:rPr>
          <w:b/>
        </w:rPr>
        <w:t>E. 4.1</w:t>
      </w:r>
    </w:p>
    <w:p>
      <w:r>
        <w:t>Auf der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I 732/06 vom 2. Mai 2007 E. 4.2.2) und des zu berücksichtigenden Wirtschaftszweigs oder Totalwertes (Urteil 9C_678/2008 vom 29. Januar 2009 E. 3.2).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 BGE 132 V 393 E. 3.3 S. 399).</w:t>
      </w:r>
    </w:p>
    <w:p>
      <w:r>
        <w:rPr>
          <w:b/>
        </w:rPr>
        <w:t>E. 4.2</w:t>
      </w:r>
    </w:p>
    <w:p>
      <w:r>
        <w:t>Das kantonale Gericht ermittelte den im massgebenden Zeitpunkt des frühest möglichen Rentenbeginns ( BGE 134 V 322 E. 4.1 S. 325) im Jahre 2004 ohne Gesundheitsschaden hypothetisch erzielten Jahresverdienst auf Fr. 64'778.- (Valideneinkommen) sowie das - trotz gesundheitlicher Einschränkungen - zumutbarerweise realisierbare Erwerbseinkommen auf Fr. 27'207.- (Invalideneinkommen). Steht fest, dass die Beschwerdeführerin eine leidensangepasste Tätigkeit trotz Gesundheitsstörungen zumutbarerweise bei einer Leistungsfähigkeit von 70% erwerblich verwerten könnte (E. 3.1 bis 3.3 hievor), hat die Vorinstanz das Invalideneinkommen - im Übrigen unbestritten - zu Recht nach Massgabe der einschlägigen Rechtsprechung ( BGE 135 V 297 E. 5.2 mit Hinweisen) auf Fr. 27'207.- ermittelt.</w:t>
      </w:r>
    </w:p>
    <w:p>
      <w:r>
        <w:rPr>
          <w:b/>
        </w:rPr>
        <w:t>E. 4.3</w:t>
      </w:r>
    </w:p>
    <w:p>
      <w:r>
        <w:t>Wäre mit Blick auf das Valideneinkommen nach Auffassung der Versicherten - abweichend von dem gemäss angefochtenem Entscheid zugrunde gelegten Verdienst als Gärtnerin vor Eintritt des Gesundheitsschadens, angepasst an die Nominallohnentwicklung bis 2004 - zusätzlich das von ihr geltend gemachte Nebenerwerbseinkommen aus der damals teilzeitlich ausgeübten Tätigkeit als Gartenbaulehrerin aufzuaddieren, würde sich dennoch nichts daran ändern, dass es bei einem Invaliditätsgrad von weniger als 60% bliebe. Die Beschwerdeführerin legt nicht substantiiert dar, zu welchem anderen Ergebnis ihre Berechnung des Invaliditätsgrades führt. Soweit die Versicherte schliesslich beanstandet, Verwaltung und Vorinstanz hätten bei der Feststellung des Valideneinkommens zu Unrecht nicht den zwischen 1999 und 2002 erzielten Verdienst aus der damals hauptamtlich ausgeübten qualifizierten Unterrichtstätigkeit als Fachlehrerin im Bereich Gartenbau herangezogen, hält das kantonale Gericht mit Vernehmlassung vom 27. August 2009 zutreffend fest (vgl. E. 3.3 i.f. hievor), dass es sich bei dieser Lehrtätigkeit um eine leidensangepasste Beschäftigung handelte, welche die Beschwerdeführerin aus invaliditätsfremden Gründen verloren hat. Ist sie in dieser Tätigkeit aus gesundheitlichen Gründen nur zu 30% eingeschränkt (E. 3.3 hievor), würde auch unter Berücksichtigung eines - von der IV-Stelle eher grosszügig bemessenen - leidensbedingten Abzuges von 20% in jedem Falle offensichtlich kein Invaliditätsgrad von mindestens 60% resultieren. Der angefochtene Entscheid, mit welchem das kantonale Gericht bundesrechtskonform den Anspruch auf eine halbe Invalidenrente ab 1. September 2004 bejaht hat, besteht zu Recht. Was die Versicherte im Übrigen hiegegen vorbringt, ist nicht geeignet, an diesem Ergebnis etwas zu ändern.</w:t>
      </w:r>
    </w:p>
    <w:p>
      <w:r>
        <w:rPr>
          <w:b/>
        </w:rPr>
        <w:t>E. 5</w:t>
      </w:r>
    </w:p>
    <w:p>
      <w:r>
        <w:t>Im Rahmen der bundesgerichtlichen Kognition ist nicht zu beanstanden, dass das kantonale Gericht bei teilweisem Obsiegen der Beschwerdeführerin im vorinstanzlichen Verfahren die Gerichtskosten von total Fr. 800.- mit ausführlicher und nachvollziehbarer Begründung zur Hälfte der Versicherten auferlegt und ihr eine angemessen reduzierte Parteientschädigung von total Fr. 3'615.25 (inklusive Auslagen und Mehrwertsteuer) zugesprochen hat. Soweit sich die Beschwerdeführerin überhaupt sachbezüglich mit der Begründung des angefochtenen Entscheids auseinander setzt, ist festzuhalten, dass die Vorinstanz nicht nur infolge einer Überklagung (vgl. Urteil 8C_471/2007 vom 1. Februar 2008 E. 3.2) die geltend gemachte Parteientschädigung kürzte, sondern auch der hier unter den besonderen Umständen zu berücksichtigende Aufwand für eine angemessene Reduktion der Honorarforderung sprach. Die Versicherte legt nicht dar, inwiefern der angefochtene Entscheid im Kosten- und Entschädigungspunkt Bundesrecht verletze.</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