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8C_583/2015 vom 29. September 2015</w:t>
      </w:r>
    </w:p>
    <w:p>
      <w:r>
        <w:t>Bundesgericht, 2015-09-29, DE</w:t>
      </w:r>
    </w:p>
    <w:p>
      <w:r>
        <w:rPr>
          <w:b/>
        </w:rPr>
        <w:t xml:space="preserve">Quelle: </w:t>
      </w:r>
      <w:r>
        <w:t>https://mcp.opencaselaw.ch/entscheid/bger_8C_583_2015</w:t>
      </w:r>
    </w:p>
    <w:p>
      <w:r>
        <w:t>FR: TF 8C_583/2015 du 29 septembre 2015</w:t>
      </w:r>
    </w:p>
    <w:p>
      <w:r>
        <w:t>IT: TF 8C_583/2015 del 29 settembre 2015</w:t>
      </w:r>
    </w:p>
    <w:p>
      <w:pPr>
        <w:pStyle w:val="Heading2"/>
      </w:pPr>
      <w:r>
        <w:t>Volltext</w:t>
      </w:r>
    </w:p>
    <w:p>
      <w:r>
        <w:t>Bundesgericht</w:t>
      </w:r>
    </w:p>
    <w:p>
      <w:r>
        <w:t>Tribunal fédéral</w:t>
      </w:r>
    </w:p>
    <w:p>
      <w:r>
        <w:t>Tribunale federale</w:t>
      </w:r>
    </w:p>
    <w:p>
      <w:r>
        <w:t>Tribunal federal</w:t>
      </w:r>
    </w:p>
    <w:p>
      <w:r>
        <w:t>8C_583/2015 {T 0/2}</w:t>
      </w:r>
    </w:p>
    <w:p>
      <w:r>
        <w:t>Urteil vom 29. September 2015</w:t>
      </w:r>
    </w:p>
    <w:p>
      <w:r>
        <w:t>I. sozialrechtliche Abteilung</w:t>
      </w:r>
    </w:p>
    <w:p>
      <w:r>
        <w:t>Besetzung</w:t>
      </w:r>
    </w:p>
    <w:p>
      <w:r>
        <w:t>Bundesrichterin Leuzinger, Präsidentin,</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Versicherungsgerichts des Kantons St. Gallen vom 21. Juli 2015.</w:t>
      </w:r>
    </w:p>
    <w:p>
      <w:r>
        <w:t>Nach Einsicht</w:t>
      </w:r>
    </w:p>
    <w:p>
      <w:r>
        <w:t>in die Beschwerde vom 24. August 2015 gegen den Entscheid des Versicherungsgerichts des Kantons St. Gallen vom 21. Juli 2015,</w:t>
      </w:r>
    </w:p>
    <w:p>
      <w:r>
        <w:t>in die Mitteilung des Bundesgerichts vom 7. September 2015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nach Art. 100 Abs. 1 BGG 30-tägigen, gemäss Art. 44 - 48 BGG am 14. September 2015 abgelaufenen Rechtsmittelfrist keine weitere Eingabe seitens des Beschwerdeführers erfolgt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während eine rein appellatorische Kritik nicht genügt (vgl. BGE 136 I 65 E. 1.3.1 S. 68 und 134 II 244 E. 2.1 f. S. 245 f.),</w:t>
      </w:r>
    </w:p>
    <w:p>
      <w:r>
        <w:t>dass die Vorinstanz in Auseinandersetzung mit den Parteivorbringen und unter Bezugnahme auf Arztberichte näher dargelegt hat, weshalb zum Zeitpunkt des Fallabschlusses per 30. April 2013 einzig noch der chronisch mazerierte Augenwinkel, der leicht inkomplette Lidschluss von 1 mm sowie die Empfindungsstörungen an der linken Schädelhälfte mit Einschluss der Stirn mit dem Unfallereignis vom 25. Januar 2006 in einen ursächlichen Zusammenhang zu bringen waren,</w:t>
      </w:r>
    </w:p>
    <w:p>
      <w:r>
        <w:t>dass sie in einem weiteren Schritt begründete, weshalb gestützt darauf von einer fehlenden unfallbedingten Erwerbseinbusse auszugehen sei, mithin keine UV-Rente zugesprochen werden kann,</w:t>
      </w:r>
    </w:p>
    <w:p>
      <w:r>
        <w:t>dass sie sodann die von der SUVA festgelegte Höhe der Integritätsentschädigung einer Prüfung unterzog und für rechtens erachtete,</w:t>
      </w:r>
    </w:p>
    <w:p>
      <w:r>
        <w:t>dass der Beschwerdeführer darauf nicht näher eingeht, insbesondere nicht ausführt, inwiefern die vorinstanzlich vorgenommene Würdigung der Arztberichte rechtsfehlerhaft erfolgt sein bzw. auf einer für den Entscheid wesentlichen unrichtigen oder unvollständigen Sachverhaltsfeststellung im Sinne von Art. 97 Abs. 2 BGG beruhen soll,</w:t>
      </w:r>
    </w:p>
    <w:p>
      <w:r>
        <w:t>dass er sich statt dessen darauf beschränkt, verschiedene, gestützt auf Art. 99 Abs. 1 BGG teilweise ohnehin unzulässige Arztberichte anzurufen und dabei das Vorliegen eines Kausalzusammenhangs zu behaupten, was nach Gesagtem indessen offenkundig nicht genügt,</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Bundesamt für Gesundheit schriftlich mitgeteilt.</w:t>
      </w:r>
    </w:p>
    <w:p>
      <w:r>
        <w:t>Luzern, 29. September 2015</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