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8C_582/2025 vom 17. Oktober 2025</w:t>
      </w:r>
    </w:p>
    <w:p>
      <w:r>
        <w:t>Bundesgericht, 2025-10-17, DE</w:t>
      </w:r>
    </w:p>
    <w:p>
      <w:r>
        <w:rPr>
          <w:b/>
        </w:rPr>
        <w:t xml:space="preserve">Quelle: </w:t>
      </w:r>
      <w:r>
        <w:t>https://mcp.opencaselaw.ch/entscheid/bger_8C_582_2025</w:t>
      </w:r>
    </w:p>
    <w:p>
      <w:r>
        <w:t>FR: TF 8C_582/2025 du 17 octobre 2025</w:t>
      </w:r>
    </w:p>
    <w:p>
      <w:r>
        <w:t>IT: TF 8C_582/2025 del 17 ottobre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29. August 2025 den Einspracheentscheid der Beschwerdegegnerin vom 22. August 2024, mit welchem die Voraussetzungen für den Erlass der zurückgeforderten Ergänzungsleistungen in der Höhe von Fr. 24'386.- und Fr. 13'316.- verneint wurden. Dabei führte es in Auseinandersetzung mit den Parteivorbringen eingehend aus, weshalb sich der Beschwerdeführer als Erbe der verstorbenen Bezügerin das Fehlverhalten des Vertreters der Erblasserin für die eine Forderung anrechnen lassen müsse. Hinsichtlich der anderen erwog es, dass es sich dabei um eine Rückforderung rechtmässig bezogener Leistungen der verstorbenen Bezügerin aus dem Nachlass handle, für welche der Erlass gesetzlich nicht vorgesehen sei.</w:t>
      </w:r>
    </w:p>
    <w:p>
      <w:r>
        <w:rPr>
          <w:b/>
        </w:rPr>
        <w:t>E. 3</w:t>
      </w:r>
    </w:p>
    <w:p>
      <w:r>
        <w:t>Darauf geht der Beschwerdeführer in seiner Eingabe nicht näher ein. Einzig auszuführen, er sei überrascht, dass das kantonale Gericht seinen Vorbringen nicht gefolgt sei, nachdem die Beschwerdegegnerin auf eine Duplik verzichtet habe, reicht nicht aus. Weshalb das vorinstanzliche Urteil rechtsfehlerhaft sein soll, ist damit nicht dargetan.</w:t>
      </w:r>
    </w:p>
    <w:p>
      <w:r>
        <w:rPr>
          <w:b/>
        </w:rPr>
        <w:t>E. 4</w:t>
      </w:r>
    </w:p>
    <w:p>
      <w:r>
        <w:t>Da dieser 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