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8C_582/2019 vom 5. November 2019</w:t>
      </w:r>
    </w:p>
    <w:p>
      <w:r>
        <w:t>Bundesgericht, 2019-11-05, DE</w:t>
      </w:r>
    </w:p>
    <w:p>
      <w:r>
        <w:rPr>
          <w:b/>
        </w:rPr>
        <w:t xml:space="preserve">Quelle: </w:t>
      </w:r>
      <w:r>
        <w:t>https://mcp.opencaselaw.ch/entscheid/bger_8C_582_2019</w:t>
      </w:r>
    </w:p>
    <w:p>
      <w:r>
        <w:t>FR: TF 8C_582/2019 du 5 novembre 2019</w:t>
      </w:r>
    </w:p>
    <w:p>
      <w:r>
        <w:t>IT: TF 8C_582/2019 del 5 novembre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Streitig und zu prüfen ist, ob die vorinstanzliche Verneinung eines Anspruchs auf Invalidenrente vor Bundesrecht standhält, wobei der Beschwerdeführer insbesondere die Beweiskraft der Einschätzungen des RAD-Arztes Dr. med. C.________ in Abrede stellt.</w:t>
      </w:r>
    </w:p>
    <w:p>
      <w:r>
        <w:rPr>
          <w:b/>
        </w:rPr>
        <w:t>E. 2.2</w:t>
      </w:r>
    </w:p>
    <w:p>
      <w:r>
        <w:t>Soweit der Beschwerdeführer berufliche Massnahmen beantragt, ist festzuhalten, dass ein solcher Anspruch nicht Gegenstand der Verfügung vom 30. August 2018 bildete, weshalb in diesem Punkt auf die Beschwerde nicht einzutreten ist. Der Antrag ist ohnehin nicht begründet ( Art. 42 Abs. 1 und 2 BGG ; vgl. auch BGE 125 V 413 E. 1 S. 414).</w:t>
      </w:r>
    </w:p>
    <w:p>
      <w:r>
        <w:rPr>
          <w:b/>
        </w:rPr>
        <w:t>E. 3</w:t>
      </w:r>
    </w:p>
    <w:p>
      <w:r>
        <w:t>Das kantonale Gericht hat der RAD-Aktenbeurteilung des Dr. med. C.________ vom 28. März 2018 Beweiskraft beigemessen und gestützt darauf festgestellt, dass nach Abschluss der erstmaligen beruflichen Ausbildung kein Anspruch auf eine Invalidenrente bestehe. Es führte insbesondere aus, die Beurteilung des RAD basiere im Wesentlichen auf dem Gutachten des Dr. med. B.________ vom 30. Dezember 2014. Diesem könne keine psychiatrische Diagnose mit Auswirkung auf die Arbeitsfähigkeit entnommen werden, was in Einklang stehe mit den Ausführungen des behandelnden Psychiaters Dr. med. D.________, Facharzt für Psychiatrie und Psychotherapie, in seinem Verlaufsbericht vom 15. Dezember 2017. Der darin nicht näher erläuterten Diagnose einer Anpassungsstörung mit depressiver und psychosomatischer Symptomatik bei transkultureller und innerfamiliärer Problematik (ICD-10 F43.2) habe Dr. med. D.________ keine Auswirkung auf die Arbeitsfähigkeit beigemessen. Diese Diagnose habe er in seinem Bericht vom 4. Juli 2018 wiederholt, wobei er die erwähnte Verzögerung der Persönlichkeitsentwicklung nicht begründet oder nach einem wissenschaftlich anerkannten Klasssifikationssystem diagnostiziert habe. Ferner, so das kantonale Gericht, könne den Akten diverse Anhaltspunkte für erhebliche soziokulturelle und psychosoziale Belastungsfaktoren (u.a. ein schwieriges familiäres Umfeld) entnommen werden. Insgesamt bestünden aufgrund der medizinischen Unterlagen keine auch nur geringe Zweifel an der Schlüssigkeit der Beurteilung des Dr. med. C.________ vom 28. März 2018.</w:t>
      </w:r>
    </w:p>
    <w:p>
      <w:r>
        <w:rPr>
          <w:b/>
        </w:rPr>
        <w:t>E. 4.1</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142 V 58 E. 5.1 S. 65; 139 V 225 E. 5.2 S. 229; 135 V 465 E. 4.4 S. 470).</w:t>
      </w:r>
    </w:p>
    <w:p>
      <w:r>
        <w:rPr>
          <w:b/>
        </w:rPr>
        <w:t>E. 4.2</w:t>
      </w:r>
    </w:p>
    <w:p>
      <w:r>
        <w:t>Es liegen zwar aktenkundige Probleme des Versicherten in Kindheit und Jugend vor. Mit Blick auf den gesundheitlichen Verlauf und die damit zusammenhängende berufliche Entwicklung führte Dr. med. B.________ aber in seinem Gutachten aus, dass invaliditätsfremde Faktoren, insbesondere motivationeller Art, bei den Schwierigkeiten im Ausbildungsverlauf überwögen, wie die Vorinstanz bereits festhielt. Dass diese als Ausdruck einer psychischen Problematik mit beeinträchtigter Leistungsfähigkeit angesehen werden müssten, lässt sich den vorliegenden Akten nicht entnehmen. Der aktuell behandelnde Dr. med. D.________ führte die Anpassungsstörung im Bericht vom 15. Dezember 2017 als Diagnose ohne Auswirkung auf die Arbeitsfähigkeit auf. Er bestätigte darin motivationelle Probleme und führte unter Punkt "1.4 Anamnese" aus, dass nur drei Konsultationen bei ihm stattgefunden hätten, bei denen deutlich geworden sei, dass der Versicherte erhebliche Probleme in seiner Ausbildung, in der Familie und im transkulturellen Sinne habe. Eine Therapie habe nicht durchgeführt werden können, weil der Versicherte die Termine nicht eingehalten bzw. kurzfristig abgesagt habe. Weiter hielt der Psychiater im Bericht vom 4. Juli 2018 an seiner bisher gestellten Diagnose fest und gab an, seit 29. Mai 2018 komme der Versicherte nun wöchentlich zur Therapie. Im Spannungsfeld der kulturellen Problematik sei es zu psychosomatischen Symptomen wie gehäuft auftretenden Migräneschüben, zu Absentismus und pseudologistischem Zurechtstutzen der Wahrheit gekommen, was sich indes nun geändert habe. Die Situation habe sich mittlerweile deutlich entschärft. Eine Auswirkung der psychosomatischen Symptomatik auf die Leistungs- und Erwerbsfähigkeit erwähnte der Psychiater in diesem Bericht ebenso wenig. Er benannte auch keine Aspekte, die bei der damaligen Begutachtung durch Dr. med. B.________ oder bei der Beurteilung des RAD-Arztes unerkannt oder ungewürdigt geblieben sind.</w:t>
      </w:r>
    </w:p>
    <w:p>
      <w:r>
        <w:rPr>
          <w:b/>
        </w:rPr>
        <w:t>E. 4.3</w:t>
      </w:r>
    </w:p>
    <w:p>
      <w:r>
        <w:t>Wenn die Vorinstanz in Würdigung der gesamten Aktenlage, mithin unter Einbezug des aktuellsten Berichts des behandelnden Psychiaters vom 4. Juli 2018, das Vorliegen einer psychiatrischen Krankheit mit Beeinträchtigung der Erwerbsfähigkeit verneinte, hat sie weder den Sachverhalt willkürlich festgestellt noch dadurch den Untersuchungsgrundsatz verletzt. Es kann demnach nicht die Rede davon sein, die medizinische Aktenlage sei im Zeitpunkt der Verfügung vom 30. August 2018 veraltet gewesen und trage der gesundheitlichen Entwicklung seit der Begutachtung im Dezember 2014 nicht Rechnung, zumal Dr. med. D.________ im Juli 2018 eine deutlich entschärfte Situation festhielt. Nach dem Gesagten lassen die Vorbringen des Beschwerdeführers auch nicht geringe Zweifel an der Schlüssigkeit der Ausführungen des RAD-Arztes aufkommen (E. 4.1).</w:t>
      </w:r>
    </w:p>
    <w:p>
      <w:r>
        <w:t>Damit erübrigen sich auch die eventualiter beantragten weiteren medizinischen Abklärungen. Dass die abgeschlossene berufliche Ausbildung nicht zu einer Eingliederung ins Erwerbsleben führte, lässt sich ausweislich der Akten nicht durch einen invalidenversicherungsrechtlich relevanten Gesundheitsschaden begründen. Im Übrigen betrifft der Umstand, dass die Sozialen Dienste der Gemeinde Neuenhof die Vermittelbarkeit des Versicherten in den ersten Arbeitsmarkt als nicht gegeben erachten, nicht die medizinische Arbeitsfähigkeitsschätzung, sondern die Verwertbarkeit der ärztlich attestierten Restarbeitsfähigkeit. Es bestehen jedoch keine Hinweise, dass es auf dem - hier massgeblichen - ausgeglichenen Arbeitsmarkt nicht genügend realistische Betätigungsmöglichkeiten bestehen würden (Urteil 9C_941/2012 vom 20. März 2013 E. 4.1.1 mit Hinweis). Mit Blick auf das Leistungsvermögen des Beschwerdeführers ist die Vorinstanz zu Recht davon ausgegangen, dass eine wirtschaftlich verwertbare Resterwerbsfähigkeit gegeben ist ( BGE 138 V 457 E. 3.1 S. 460). Die Beschwerde ist unbegründet.</w:t>
      </w:r>
    </w:p>
    <w:p>
      <w:r>
        <w:rPr>
          <w:b/>
        </w:rPr>
        <w:t>E. 5</w:t>
      </w:r>
    </w:p>
    <w:p>
      <w:r>
        <w:t>Dem Ausgang des Verfahrens entsprechend hat der Beschwerdeführer die Kosten zu tragen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